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42" w:rsidRDefault="007208B5" w:rsidP="00100870">
      <w:pPr>
        <w:jc w:val="both"/>
        <w:rPr>
          <w:b/>
          <w:color w:val="5B9BD5" w:themeColor="accent1"/>
        </w:rPr>
      </w:pPr>
      <w:r>
        <w:rPr>
          <w:b/>
          <w:color w:val="5B9BD5" w:themeColor="accent1"/>
        </w:rPr>
        <w:t xml:space="preserve">Autor del metadato: </w:t>
      </w:r>
      <w:r w:rsidR="00FE79B9">
        <w:rPr>
          <w:b/>
          <w:color w:val="5B9BD5" w:themeColor="accent1"/>
        </w:rPr>
        <w:t>José Mauricio Galeana Pizaña</w:t>
      </w:r>
    </w:p>
    <w:p w:rsidR="00251FF5" w:rsidRPr="00FE79B9" w:rsidRDefault="008C3A63" w:rsidP="00251FF5">
      <w:pPr>
        <w:spacing w:after="0" w:line="240" w:lineRule="auto"/>
        <w:jc w:val="both"/>
        <w:rPr>
          <w:rFonts w:eastAsia="Times New Roman" w:cs="Arial"/>
          <w:color w:val="000000"/>
          <w:lang w:val="en-US" w:eastAsia="es-MX"/>
        </w:rPr>
      </w:pPr>
      <w:proofErr w:type="spellStart"/>
      <w:r w:rsidRPr="00FE79B9">
        <w:rPr>
          <w:b/>
          <w:color w:val="5B9BD5" w:themeColor="accent1"/>
          <w:lang w:val="en-US"/>
        </w:rPr>
        <w:t>Shp</w:t>
      </w:r>
      <w:proofErr w:type="spellEnd"/>
      <w:r w:rsidRPr="00FE79B9">
        <w:rPr>
          <w:b/>
          <w:color w:val="5B9BD5" w:themeColor="accent1"/>
          <w:lang w:val="en-US"/>
        </w:rPr>
        <w:t>:</w:t>
      </w:r>
      <w:r w:rsidR="00FE79B9" w:rsidRPr="00FE79B9">
        <w:rPr>
          <w:lang w:val="en-US"/>
        </w:rPr>
        <w:t xml:space="preserve"> </w:t>
      </w:r>
      <w:r w:rsidR="0019130E">
        <w:t>Procesos de cambio</w:t>
      </w:r>
      <w:r w:rsidR="00337044" w:rsidRPr="00FE79B9">
        <w:rPr>
          <w:rFonts w:eastAsia="Times New Roman" w:cs="Arial"/>
          <w:color w:val="000000"/>
          <w:lang w:val="en-US" w:eastAsia="es-MX"/>
        </w:rPr>
        <w:t>.</w:t>
      </w:r>
      <w:proofErr w:type="spellStart"/>
      <w:r w:rsidR="00337044" w:rsidRPr="00FE79B9">
        <w:rPr>
          <w:rFonts w:eastAsia="Times New Roman" w:cs="Arial"/>
          <w:color w:val="000000"/>
          <w:lang w:val="en-US" w:eastAsia="es-MX"/>
        </w:rPr>
        <w:t>shp</w:t>
      </w:r>
      <w:proofErr w:type="spellEnd"/>
    </w:p>
    <w:p w:rsidR="005A7DB8" w:rsidRPr="00FE79B9" w:rsidRDefault="005A7DB8" w:rsidP="00251FF5">
      <w:pPr>
        <w:spacing w:after="0" w:line="240" w:lineRule="auto"/>
        <w:jc w:val="both"/>
        <w:rPr>
          <w:rFonts w:eastAsia="Times New Roman" w:cs="Arial"/>
          <w:color w:val="000000"/>
          <w:lang w:val="en-US" w:eastAsia="es-MX"/>
        </w:rPr>
      </w:pPr>
    </w:p>
    <w:p w:rsidR="0019130E" w:rsidRDefault="007208B5" w:rsidP="002D6207">
      <w:pPr>
        <w:jc w:val="both"/>
      </w:pPr>
      <w:r>
        <w:rPr>
          <w:b/>
          <w:color w:val="5B9BD5" w:themeColor="accent1"/>
        </w:rPr>
        <w:t xml:space="preserve">Título: </w:t>
      </w:r>
      <w:r w:rsidR="0019130E">
        <w:t xml:space="preserve">Procesos de cambio dominantes en México </w:t>
      </w:r>
    </w:p>
    <w:p w:rsidR="002D6207" w:rsidRPr="00D13E25" w:rsidRDefault="009B62F1" w:rsidP="002D6207">
      <w:pPr>
        <w:jc w:val="both"/>
        <w:rPr>
          <w:b/>
          <w:color w:val="5B9BD5" w:themeColor="accent1"/>
        </w:rPr>
      </w:pPr>
      <w:r w:rsidRPr="00D13E25">
        <w:rPr>
          <w:b/>
          <w:color w:val="5B9BD5" w:themeColor="accent1"/>
        </w:rPr>
        <w:t>Resumen</w:t>
      </w:r>
      <w:r w:rsidR="009E7F2B" w:rsidRPr="00D13E25">
        <w:rPr>
          <w:b/>
          <w:color w:val="5B9BD5" w:themeColor="accent1"/>
        </w:rPr>
        <w:t>:</w:t>
      </w:r>
      <w:r w:rsidR="00FE79B9">
        <w:rPr>
          <w:b/>
          <w:color w:val="5B9BD5" w:themeColor="accent1"/>
        </w:rPr>
        <w:t xml:space="preserve"> </w:t>
      </w:r>
      <w:r w:rsidR="0019130E">
        <w:rPr>
          <w:b/>
          <w:color w:val="5B9BD5" w:themeColor="accent1"/>
        </w:rPr>
        <w:t>Integración de los procesos de cambio dominantes en México a partir del análisis de las 5 series de Uso de Suelo y Vegetación del INEGI (1976-2011).</w:t>
      </w:r>
    </w:p>
    <w:p w:rsidR="002D6207" w:rsidRDefault="002D6207" w:rsidP="002D6207">
      <w:pPr>
        <w:jc w:val="both"/>
        <w:rPr>
          <w:b/>
          <w:color w:val="5B9BD5" w:themeColor="accent1"/>
        </w:rPr>
      </w:pPr>
      <w:r w:rsidRPr="00D13E25">
        <w:rPr>
          <w:b/>
          <w:color w:val="5B9BD5" w:themeColor="accent1"/>
        </w:rPr>
        <w:t>Propósito</w:t>
      </w:r>
      <w:r w:rsidR="009E7F2B" w:rsidRPr="00D13E25">
        <w:rPr>
          <w:b/>
          <w:color w:val="5B9BD5" w:themeColor="accent1"/>
        </w:rPr>
        <w:t>:</w:t>
      </w:r>
      <w:r w:rsidR="00FE79B9">
        <w:rPr>
          <w:b/>
          <w:color w:val="5B9BD5" w:themeColor="accent1"/>
        </w:rPr>
        <w:t xml:space="preserve"> Obtener una aproximación a la dinámica espacio-temporal de los </w:t>
      </w:r>
      <w:r w:rsidR="0019130E">
        <w:rPr>
          <w:b/>
          <w:color w:val="5B9BD5" w:themeColor="accent1"/>
        </w:rPr>
        <w:t>procesos de cambio dominantes en 35 años.</w:t>
      </w:r>
    </w:p>
    <w:p w:rsidR="008A2BCE" w:rsidRPr="007208B5" w:rsidRDefault="008A2BCE" w:rsidP="007208B5">
      <w:pPr>
        <w:jc w:val="both"/>
        <w:rPr>
          <w:b/>
          <w:color w:val="5B9BD5" w:themeColor="accent1"/>
        </w:rPr>
      </w:pPr>
      <w:r w:rsidRPr="00D13E25">
        <w:rPr>
          <w:b/>
          <w:color w:val="5B9BD5" w:themeColor="accent1"/>
        </w:rPr>
        <w:t>Fecha de publicación</w:t>
      </w:r>
      <w:r w:rsidR="00D35989" w:rsidRPr="007208B5">
        <w:rPr>
          <w:b/>
          <w:color w:val="5B9BD5" w:themeColor="accent1"/>
        </w:rPr>
        <w:t>:</w:t>
      </w:r>
      <w:r w:rsidRPr="007208B5">
        <w:rPr>
          <w:b/>
          <w:color w:val="5B9BD5" w:themeColor="accent1"/>
        </w:rPr>
        <w:t xml:space="preserve"> </w:t>
      </w:r>
      <w:r w:rsidR="0019130E">
        <w:rPr>
          <w:b/>
          <w:color w:val="5B9BD5" w:themeColor="accent1"/>
        </w:rPr>
        <w:t>2016</w:t>
      </w:r>
    </w:p>
    <w:p w:rsidR="00275ACB" w:rsidRPr="007208B5" w:rsidRDefault="00275ACB" w:rsidP="007208B5">
      <w:pPr>
        <w:jc w:val="both"/>
        <w:rPr>
          <w:b/>
          <w:color w:val="5B9BD5" w:themeColor="accent1"/>
        </w:rPr>
      </w:pPr>
      <w:r w:rsidRPr="00D13E25">
        <w:rPr>
          <w:b/>
          <w:color w:val="5B9BD5" w:themeColor="accent1"/>
        </w:rPr>
        <w:t xml:space="preserve">Colaboradores: </w:t>
      </w:r>
      <w:r w:rsidR="0019130E">
        <w:rPr>
          <w:b/>
          <w:color w:val="5B9BD5" w:themeColor="accent1"/>
        </w:rPr>
        <w:t>José Mauricio Galeana Pizaña</w:t>
      </w:r>
    </w:p>
    <w:p w:rsidR="001D720B" w:rsidRPr="00D13E25" w:rsidRDefault="00275ACB" w:rsidP="001D720B">
      <w:pPr>
        <w:spacing w:before="100" w:beforeAutospacing="1" w:after="100" w:afterAutospacing="1" w:line="240" w:lineRule="auto"/>
        <w:rPr>
          <w:rFonts w:eastAsia="Times New Roman" w:cs="Times New Roman"/>
          <w:lang w:eastAsia="es-MX"/>
        </w:rPr>
      </w:pPr>
      <w:r w:rsidRPr="00D13E25">
        <w:rPr>
          <w:b/>
          <w:color w:val="5B9BD5" w:themeColor="accent1"/>
        </w:rPr>
        <w:t>E</w:t>
      </w:r>
      <w:r w:rsidR="00813A64" w:rsidRPr="00D13E25">
        <w:rPr>
          <w:b/>
          <w:color w:val="5B9BD5" w:themeColor="accent1"/>
        </w:rPr>
        <w:t>ditor</w:t>
      </w:r>
      <w:r w:rsidRPr="00D13E25">
        <w:rPr>
          <w:b/>
          <w:color w:val="5B9BD5" w:themeColor="accent1"/>
        </w:rPr>
        <w:t xml:space="preserve">: </w:t>
      </w:r>
      <w:proofErr w:type="spellStart"/>
      <w:r w:rsidR="00CB1B54">
        <w:rPr>
          <w:b/>
          <w:color w:val="5B9BD5" w:themeColor="accent1"/>
        </w:rPr>
        <w:t>Centrogeo</w:t>
      </w:r>
      <w:proofErr w:type="spellEnd"/>
    </w:p>
    <w:p w:rsidR="00762FE7" w:rsidRPr="00D13E25" w:rsidRDefault="00762FE7" w:rsidP="00762FE7">
      <w:pPr>
        <w:jc w:val="both"/>
        <w:rPr>
          <w:rFonts w:eastAsia="Times New Roman" w:cs="Arial"/>
          <w:color w:val="000000"/>
          <w:lang w:eastAsia="es-MX"/>
        </w:rPr>
      </w:pPr>
      <w:r w:rsidRPr="00D13E25">
        <w:rPr>
          <w:b/>
          <w:color w:val="5B9BD5" w:themeColor="accent1"/>
        </w:rPr>
        <w:t>Fuente:</w:t>
      </w:r>
      <w:r w:rsidRPr="00D13E25">
        <w:rPr>
          <w:rFonts w:eastAsia="Times New Roman" w:cs="Times New Roman"/>
          <w:lang w:eastAsia="es-MX"/>
        </w:rPr>
        <w:t xml:space="preserve"> </w:t>
      </w:r>
      <w:r w:rsidR="00FE79B9">
        <w:rPr>
          <w:rFonts w:eastAsia="Times New Roman" w:cs="Times New Roman"/>
          <w:lang w:eastAsia="es-MX"/>
        </w:rPr>
        <w:t xml:space="preserve">Series de Uso de Suelo y Vegetación de INEGI </w:t>
      </w:r>
      <w:r w:rsidR="0019130E">
        <w:rPr>
          <w:rFonts w:eastAsia="Times New Roman" w:cs="Times New Roman"/>
          <w:lang w:eastAsia="es-MX"/>
        </w:rPr>
        <w:t>I-V</w:t>
      </w:r>
    </w:p>
    <w:p w:rsidR="009C31CA" w:rsidRPr="00D13E25" w:rsidRDefault="00762FE7" w:rsidP="009C31CA">
      <w:pPr>
        <w:jc w:val="both"/>
      </w:pPr>
      <w:r w:rsidRPr="00D13E25">
        <w:rPr>
          <w:b/>
          <w:color w:val="5B9BD5" w:themeColor="accent1"/>
        </w:rPr>
        <w:t>D</w:t>
      </w:r>
      <w:r w:rsidR="00813A64" w:rsidRPr="00D13E25">
        <w:rPr>
          <w:b/>
          <w:color w:val="5B9BD5" w:themeColor="accent1"/>
        </w:rPr>
        <w:t>erechos</w:t>
      </w:r>
      <w:r w:rsidRPr="00D13E25">
        <w:rPr>
          <w:b/>
          <w:color w:val="5B9BD5" w:themeColor="accent1"/>
        </w:rPr>
        <w:t xml:space="preserve">: </w:t>
      </w:r>
      <w:proofErr w:type="spellStart"/>
      <w:r w:rsidR="00FE79B9">
        <w:rPr>
          <w:b/>
          <w:color w:val="5B9BD5" w:themeColor="accent1"/>
        </w:rPr>
        <w:t>Centrogeo</w:t>
      </w:r>
      <w:proofErr w:type="spellEnd"/>
    </w:p>
    <w:p w:rsidR="007208B5" w:rsidRDefault="007208B5" w:rsidP="00E86DA9">
      <w:pPr>
        <w:rPr>
          <w:b/>
          <w:color w:val="5B9BD5" w:themeColor="accent1"/>
        </w:rPr>
      </w:pPr>
      <w:r>
        <w:rPr>
          <w:b/>
          <w:color w:val="5B9BD5" w:themeColor="accent1"/>
        </w:rPr>
        <w:t xml:space="preserve">Nombre administrativo: </w:t>
      </w:r>
    </w:p>
    <w:p w:rsidR="007208B5" w:rsidRDefault="007208B5" w:rsidP="00E86DA9">
      <w:pPr>
        <w:rPr>
          <w:b/>
          <w:color w:val="5B9BD5" w:themeColor="accent1"/>
        </w:rPr>
      </w:pPr>
      <w:r>
        <w:rPr>
          <w:b/>
          <w:color w:val="5B9BD5" w:themeColor="accent1"/>
        </w:rPr>
        <w:t xml:space="preserve">Datos de </w:t>
      </w:r>
      <w:r w:rsidRPr="00D13E25">
        <w:rPr>
          <w:b/>
          <w:color w:val="5B9BD5" w:themeColor="accent1"/>
        </w:rPr>
        <w:t>contacto</w:t>
      </w:r>
      <w:r>
        <w:rPr>
          <w:b/>
          <w:color w:val="5B9BD5" w:themeColor="accent1"/>
        </w:rPr>
        <w:t xml:space="preserve"> interno</w:t>
      </w:r>
      <w:r w:rsidRPr="00D13E25">
        <w:rPr>
          <w:b/>
          <w:color w:val="5B9BD5" w:themeColor="accent1"/>
        </w:rPr>
        <w:t>:</w:t>
      </w:r>
      <w:r w:rsidR="00FE79B9">
        <w:rPr>
          <w:b/>
          <w:color w:val="5B9BD5" w:themeColor="accent1"/>
        </w:rPr>
        <w:t xml:space="preserve"> </w:t>
      </w:r>
      <w:r w:rsidR="00CB1B54">
        <w:rPr>
          <w:b/>
          <w:color w:val="5B9BD5" w:themeColor="accent1"/>
        </w:rPr>
        <w:t>mgaleana@centrogeo.</w:t>
      </w:r>
      <w:r w:rsidR="0019130E">
        <w:rPr>
          <w:b/>
          <w:color w:val="5B9BD5" w:themeColor="accent1"/>
        </w:rPr>
        <w:t>org</w:t>
      </w:r>
      <w:r w:rsidR="00CB1B54">
        <w:rPr>
          <w:b/>
          <w:color w:val="5B9BD5" w:themeColor="accent1"/>
        </w:rPr>
        <w:t>.mx</w:t>
      </w:r>
    </w:p>
    <w:p w:rsidR="00E86DA9" w:rsidRPr="00D13E25" w:rsidRDefault="00B65DD9" w:rsidP="00E86DA9">
      <w:pPr>
        <w:rPr>
          <w:rFonts w:eastAsia="Times New Roman" w:cs="Times New Roman"/>
          <w:lang w:eastAsia="es-MX"/>
        </w:rPr>
      </w:pPr>
      <w:r>
        <w:rPr>
          <w:b/>
          <w:color w:val="5B9BD5" w:themeColor="accent1"/>
        </w:rPr>
        <w:t xml:space="preserve">Datos de </w:t>
      </w:r>
      <w:r w:rsidR="009C31CA" w:rsidRPr="00D13E25">
        <w:rPr>
          <w:b/>
          <w:color w:val="5B9BD5" w:themeColor="accent1"/>
        </w:rPr>
        <w:t>contacto</w:t>
      </w:r>
      <w:r w:rsidR="00F00846" w:rsidRPr="00D13E25">
        <w:rPr>
          <w:b/>
          <w:color w:val="5B9BD5" w:themeColor="accent1"/>
        </w:rPr>
        <w:t xml:space="preserve"> externo</w:t>
      </w:r>
      <w:r w:rsidR="009C31CA" w:rsidRPr="00D13E25">
        <w:rPr>
          <w:b/>
          <w:color w:val="5B9BD5" w:themeColor="accent1"/>
        </w:rPr>
        <w:t>:</w:t>
      </w:r>
      <w:r w:rsidR="00111D1C">
        <w:rPr>
          <w:rFonts w:eastAsia="Times New Roman" w:cs="Times New Roman"/>
          <w:lang w:eastAsia="es-MX"/>
        </w:rPr>
        <w:t xml:space="preserve"> </w:t>
      </w:r>
    </w:p>
    <w:p w:rsidR="009C31CA" w:rsidRPr="00AC0B50" w:rsidRDefault="009C31CA" w:rsidP="00AC0B50">
      <w:pPr>
        <w:rPr>
          <w:b/>
          <w:color w:val="5B9BD5" w:themeColor="accent1"/>
        </w:rPr>
      </w:pPr>
      <w:r w:rsidRPr="00D13E25">
        <w:rPr>
          <w:b/>
          <w:color w:val="5B9BD5" w:themeColor="accent1"/>
        </w:rPr>
        <w:t xml:space="preserve">Fecha inicio de </w:t>
      </w:r>
      <w:r w:rsidR="00AC0B50">
        <w:rPr>
          <w:b/>
          <w:color w:val="5B9BD5" w:themeColor="accent1"/>
        </w:rPr>
        <w:t>temporal</w:t>
      </w:r>
      <w:r w:rsidRPr="00AC0B50">
        <w:rPr>
          <w:b/>
          <w:color w:val="5B9BD5" w:themeColor="accent1"/>
        </w:rPr>
        <w:t xml:space="preserve">: </w:t>
      </w:r>
      <w:r w:rsidR="00CB1B54">
        <w:rPr>
          <w:b/>
          <w:color w:val="5B9BD5" w:themeColor="accent1"/>
        </w:rPr>
        <w:t>1976</w:t>
      </w:r>
    </w:p>
    <w:p w:rsidR="009C31CA" w:rsidRPr="00AC0B50" w:rsidRDefault="00AC0B50" w:rsidP="00AC0B50">
      <w:pPr>
        <w:rPr>
          <w:b/>
          <w:color w:val="5B9BD5" w:themeColor="accent1"/>
        </w:rPr>
      </w:pPr>
      <w:r w:rsidRPr="00D13E25">
        <w:rPr>
          <w:b/>
          <w:color w:val="5B9BD5" w:themeColor="accent1"/>
        </w:rPr>
        <w:t xml:space="preserve">Fecha </w:t>
      </w:r>
      <w:r>
        <w:rPr>
          <w:b/>
          <w:color w:val="5B9BD5" w:themeColor="accent1"/>
        </w:rPr>
        <w:t>final</w:t>
      </w:r>
      <w:r w:rsidRPr="00D13E25">
        <w:rPr>
          <w:b/>
          <w:color w:val="5B9BD5" w:themeColor="accent1"/>
        </w:rPr>
        <w:t xml:space="preserve"> de </w:t>
      </w:r>
      <w:r>
        <w:rPr>
          <w:b/>
          <w:color w:val="5B9BD5" w:themeColor="accent1"/>
        </w:rPr>
        <w:t>temporal</w:t>
      </w:r>
      <w:r w:rsidR="009C31CA" w:rsidRPr="00AC0B50">
        <w:rPr>
          <w:b/>
          <w:color w:val="5B9BD5" w:themeColor="accent1"/>
        </w:rPr>
        <w:t xml:space="preserve">: </w:t>
      </w:r>
      <w:r w:rsidR="00CB1B54">
        <w:rPr>
          <w:b/>
          <w:color w:val="5B9BD5" w:themeColor="accent1"/>
        </w:rPr>
        <w:t>2011</w:t>
      </w:r>
    </w:p>
    <w:p w:rsidR="00FE79B9" w:rsidRDefault="002D6207" w:rsidP="00AC0B50">
      <w:pPr>
        <w:rPr>
          <w:b/>
          <w:color w:val="5B9BD5" w:themeColor="accent1"/>
        </w:rPr>
      </w:pPr>
      <w:r w:rsidRPr="00D13E25">
        <w:rPr>
          <w:b/>
          <w:color w:val="5B9BD5" w:themeColor="accent1"/>
        </w:rPr>
        <w:t>Historia del procesamiento</w:t>
      </w:r>
      <w:r w:rsidR="009E7F2B" w:rsidRPr="00D13E25">
        <w:rPr>
          <w:b/>
          <w:color w:val="5B9BD5" w:themeColor="accent1"/>
        </w:rPr>
        <w:t>:</w:t>
      </w:r>
      <w:r w:rsidR="00FE79B9">
        <w:rPr>
          <w:b/>
          <w:color w:val="5B9BD5" w:themeColor="accent1"/>
        </w:rPr>
        <w:t xml:space="preserve"> </w:t>
      </w:r>
    </w:p>
    <w:p w:rsidR="0019130E" w:rsidRPr="0019130E" w:rsidRDefault="0019130E" w:rsidP="0019130E">
      <w:pPr>
        <w:jc w:val="both"/>
        <w:rPr>
          <w:b/>
          <w:color w:val="5B9BD5" w:themeColor="accent1"/>
        </w:rPr>
      </w:pPr>
      <w:r w:rsidRPr="0019130E">
        <w:rPr>
          <w:b/>
          <w:color w:val="5B9BD5" w:themeColor="accent1"/>
        </w:rPr>
        <w:t>El tiempo es una dimensión fundamental para entender y modelar la evolución de los fenómenos geográficos, pues se considera que las actividades espacio-temporales dependen, directamente, de la transformación del espacio. Dimensión que se puede abordar desde dos principales enfoques: a) el absoluto, donde el espacio y tiempo son la materia de estudio, siendo el espacio un receptor de objetos y el tiempo la duración ilimitada que se extiende a través del pasado, presente y futuro, y b) el relativo, donde el análisis es en función de los objetos y eventos, siendo estos la materia de estudio, del cual el espacio y tiempo son una emergencia de las relaciones entre objetos.</w:t>
      </w:r>
    </w:p>
    <w:p w:rsidR="0019130E" w:rsidRPr="0019130E" w:rsidRDefault="0019130E" w:rsidP="0019130E">
      <w:pPr>
        <w:jc w:val="both"/>
        <w:rPr>
          <w:b/>
          <w:color w:val="5B9BD5" w:themeColor="accent1"/>
        </w:rPr>
      </w:pPr>
      <w:r w:rsidRPr="0019130E">
        <w:rPr>
          <w:b/>
          <w:color w:val="5B9BD5" w:themeColor="accent1"/>
        </w:rPr>
        <w:t xml:space="preserve">Los procesos de cambio pueden modificar el paisaje a partir de diversas formas: como es el caso de la existencia misma de una entidad, su clasificación, los valores de sus atributos, los valores de sus atributos espaciales, sus relaciones temáticas y sus relaciones espaciales. Modificaciones que ayudan a definir los procesos de cambio básicos de las entidades así como los intercambios entre un grupo de éstas, como son: a) Aparición de un objeto o entidad que no tiene precedente en el tiempo, b) Desaparición de un objeto o entidad que no tiene una versión subsecuente en el tiempo, c) Estabilidad o permanencia donde los objetos o entidades tiene el mismo estado en dos tiempos dados, d) Expansión, Contracción y deformación de objetos o entidades mediante la transformación </w:t>
      </w:r>
      <w:r w:rsidRPr="0019130E">
        <w:rPr>
          <w:b/>
          <w:color w:val="5B9BD5" w:themeColor="accent1"/>
        </w:rPr>
        <w:lastRenderedPageBreak/>
        <w:t>geométrica en términos de su superficie y forma, y e) Desplazamientos y rotación como movimientos que trasladan y modifican la orientación de las entidades u objetos.</w:t>
      </w:r>
    </w:p>
    <w:p w:rsidR="0019130E" w:rsidRDefault="0019130E" w:rsidP="0019130E">
      <w:pPr>
        <w:rPr>
          <w:b/>
          <w:color w:val="5B9BD5" w:themeColor="accent1"/>
        </w:rPr>
      </w:pPr>
      <w:r w:rsidRPr="0019130E">
        <w:rPr>
          <w:b/>
          <w:color w:val="5B9BD5" w:themeColor="accent1"/>
        </w:rPr>
        <w:t xml:space="preserve">El presente mapa se realizó a partir de la </w:t>
      </w:r>
      <w:proofErr w:type="spellStart"/>
      <w:r w:rsidRPr="0019130E">
        <w:rPr>
          <w:b/>
          <w:color w:val="5B9BD5" w:themeColor="accent1"/>
        </w:rPr>
        <w:t>sobreposición</w:t>
      </w:r>
      <w:proofErr w:type="spellEnd"/>
      <w:r w:rsidRPr="0019130E">
        <w:rPr>
          <w:b/>
          <w:color w:val="5B9BD5" w:themeColor="accent1"/>
        </w:rPr>
        <w:t xml:space="preserve"> espacial de las 5 series de Uso de Suelo y Vegetación de INEGI a través de la fusión o unión geométrica de las entidades espaciales entre cada Series, de tal manera que los procesos de cambio dominantes fueron calculados para 1976, 1993, 2002, 2007 y 2011. Y posteriormente con el objetivo de resolver la atomización de los mapas, generada principalmente por el efecto de borde derivada por la fusión entre series, se realizó un proceso generalización cartográfica por área mínima </w:t>
      </w:r>
      <w:proofErr w:type="spellStart"/>
      <w:r w:rsidRPr="0019130E">
        <w:rPr>
          <w:b/>
          <w:color w:val="5B9BD5" w:themeColor="accent1"/>
        </w:rPr>
        <w:t>cartografiable</w:t>
      </w:r>
      <w:proofErr w:type="spellEnd"/>
      <w:r w:rsidRPr="0019130E">
        <w:rPr>
          <w:b/>
          <w:color w:val="5B9BD5" w:themeColor="accent1"/>
        </w:rPr>
        <w:t xml:space="preserve"> para cada intervalo de tiempo, bajo los criterios que estipula INEGI (50ha para vegetación y 25ha para los usos de suelo).</w:t>
      </w:r>
    </w:p>
    <w:p w:rsidR="0019130E" w:rsidRDefault="0019130E" w:rsidP="0019130E">
      <w:pPr>
        <w:rPr>
          <w:b/>
          <w:color w:val="5B9BD5" w:themeColor="accent1"/>
        </w:rPr>
      </w:pPr>
      <w:r w:rsidRPr="0019130E">
        <w:rPr>
          <w:b/>
          <w:color w:val="5B9BD5" w:themeColor="accent1"/>
        </w:rPr>
        <w:t>El método consistió en 5 grandes fases:</w:t>
      </w:r>
    </w:p>
    <w:p w:rsidR="0019130E" w:rsidRDefault="0019130E" w:rsidP="0019130E">
      <w:pPr>
        <w:pStyle w:val="Prrafodelista"/>
        <w:numPr>
          <w:ilvl w:val="0"/>
          <w:numId w:val="5"/>
        </w:numPr>
        <w:jc w:val="both"/>
        <w:rPr>
          <w:b/>
          <w:color w:val="5B9BD5" w:themeColor="accent1"/>
        </w:rPr>
      </w:pPr>
      <w:r w:rsidRPr="0019130E">
        <w:rPr>
          <w:b/>
          <w:color w:val="5B9BD5" w:themeColor="accent1"/>
        </w:rPr>
        <w:t xml:space="preserve">Homologación de la información cartográfica, esto dado que existe desfase entre los límites nacionales y cuerpos costeros entre las Series de INEGI, así como la homologación del sistema de referencia espacial. Las series del INEGI incluyen dos capas de mares y océanos, una del Pacífico y otra del Atlántico, cada una es un polígono que penetra el continente a ríos y lagunas costeras, que debería ser parte de la cobertura terrestre continental. Frente a ello se procedió de la misma manera para las cinco series: primero se quitaron las capas de los mares y océanos, después se hizo una capa integrada de la serie en cuestión, el tercer paso y más laborioso, trazar polígonos que incluyan los cuerpos de agua propios de la parte continental tomando como guía la capa integrada, posteriormente a cada nuevo polígono se le borra (función erase de </w:t>
      </w:r>
      <w:proofErr w:type="spellStart"/>
      <w:r w:rsidRPr="0019130E">
        <w:rPr>
          <w:b/>
          <w:color w:val="5B9BD5" w:themeColor="accent1"/>
        </w:rPr>
        <w:t>arc</w:t>
      </w:r>
      <w:r>
        <w:rPr>
          <w:b/>
          <w:color w:val="5B9BD5" w:themeColor="accent1"/>
        </w:rPr>
        <w:t>gis</w:t>
      </w:r>
      <w:proofErr w:type="spellEnd"/>
      <w:r w:rsidRPr="0019130E">
        <w:rPr>
          <w:b/>
          <w:color w:val="5B9BD5" w:themeColor="accent1"/>
        </w:rPr>
        <w:t>) la capa integrada, como penúltimo paso, se integran todos polígonos "erase" generados y por último se agregan como capa de cuerpos de agua a la serie. La superficie incorporada fue de aproximadamente 1 millón de hectáreas, tuvo como efecto acercar los valores totales de las superficies totales de las series, es decir, a las que se les incorporó más superficie es porque tenían más huecos y viceversa.</w:t>
      </w:r>
    </w:p>
    <w:p w:rsidR="00FE79B9" w:rsidRDefault="0019130E" w:rsidP="0019130E">
      <w:pPr>
        <w:ind w:left="708"/>
        <w:jc w:val="both"/>
        <w:rPr>
          <w:b/>
          <w:color w:val="5B9BD5" w:themeColor="accent1"/>
        </w:rPr>
      </w:pPr>
      <w:r>
        <w:rPr>
          <w:b/>
          <w:color w:val="5B9BD5" w:themeColor="accent1"/>
        </w:rPr>
        <w:t xml:space="preserve">b) </w:t>
      </w:r>
      <w:r w:rsidRPr="0019130E">
        <w:rPr>
          <w:b/>
          <w:color w:val="5B9BD5" w:themeColor="accent1"/>
        </w:rPr>
        <w:t xml:space="preserve">Reagrupación de las clases vegetación y de uso de suelo, con el fin de homologar las clases de </w:t>
      </w:r>
      <w:r>
        <w:rPr>
          <w:b/>
          <w:color w:val="5B9BD5" w:themeColor="accent1"/>
        </w:rPr>
        <w:t xml:space="preserve">uso de suelo y </w:t>
      </w:r>
      <w:r w:rsidRPr="0019130E">
        <w:rPr>
          <w:b/>
          <w:color w:val="5B9BD5" w:themeColor="accent1"/>
        </w:rPr>
        <w:t xml:space="preserve">vegetación (del orden de 170) entre las series de INEGI, éstas se reclasificaron en 29 grandes clases. Esto se basó en reagrupación del INECC pero con algunas modificaciones semánticas propuestas por </w:t>
      </w:r>
      <w:proofErr w:type="spellStart"/>
      <w:r w:rsidRPr="0019130E">
        <w:rPr>
          <w:b/>
          <w:color w:val="5B9BD5" w:themeColor="accent1"/>
        </w:rPr>
        <w:t>CentroGeo</w:t>
      </w:r>
      <w:proofErr w:type="spellEnd"/>
      <w:r w:rsidRPr="0019130E">
        <w:rPr>
          <w:b/>
          <w:color w:val="5B9BD5" w:themeColor="accent1"/>
        </w:rPr>
        <w:t>.</w:t>
      </w:r>
    </w:p>
    <w:p w:rsidR="0019130E" w:rsidRDefault="0019130E" w:rsidP="0019130E">
      <w:pPr>
        <w:ind w:left="708"/>
        <w:jc w:val="both"/>
        <w:rPr>
          <w:b/>
          <w:color w:val="5B9BD5" w:themeColor="accent1"/>
        </w:rPr>
      </w:pPr>
      <w:r>
        <w:rPr>
          <w:b/>
          <w:color w:val="5B9BD5" w:themeColor="accent1"/>
        </w:rPr>
        <w:t xml:space="preserve">c) </w:t>
      </w:r>
      <w:r w:rsidRPr="0019130E">
        <w:rPr>
          <w:b/>
          <w:color w:val="5B9BD5" w:themeColor="accent1"/>
        </w:rPr>
        <w:t xml:space="preserve">Superposición espacial o cruce de mapas, una vez homologado las clases se procedió a realizar la fusión o unión geométrica de las entidades espaciales entre </w:t>
      </w:r>
      <w:r>
        <w:rPr>
          <w:b/>
          <w:color w:val="5B9BD5" w:themeColor="accent1"/>
        </w:rPr>
        <w:t>las 5 series de uso de suelo y vegetación de INEGI.</w:t>
      </w:r>
    </w:p>
    <w:p w:rsidR="0019130E" w:rsidRDefault="0019130E" w:rsidP="0019130E">
      <w:pPr>
        <w:ind w:left="708"/>
        <w:jc w:val="both"/>
        <w:rPr>
          <w:b/>
          <w:color w:val="5B9BD5" w:themeColor="accent1"/>
        </w:rPr>
      </w:pPr>
      <w:r>
        <w:rPr>
          <w:b/>
          <w:color w:val="5B9BD5" w:themeColor="accent1"/>
        </w:rPr>
        <w:t xml:space="preserve">d) </w:t>
      </w:r>
      <w:r w:rsidRPr="0019130E">
        <w:rPr>
          <w:b/>
          <w:color w:val="5B9BD5" w:themeColor="accent1"/>
        </w:rPr>
        <w:t xml:space="preserve">Generalización cartográfica, con el objetivo de resolver la atomización de los mapas, generada principalmente por el efecto de borde derivada por la fusión entre series, se realizó un proceso de desvanecimiento de polígonos bajo una clave generada de trayectoria, para posteriormente pasar a una </w:t>
      </w:r>
      <w:r w:rsidRPr="0019130E">
        <w:rPr>
          <w:b/>
          <w:color w:val="5B9BD5" w:themeColor="accent1"/>
        </w:rPr>
        <w:lastRenderedPageBreak/>
        <w:t xml:space="preserve">generalización cartográfica por área mínima </w:t>
      </w:r>
      <w:proofErr w:type="spellStart"/>
      <w:r w:rsidRPr="0019130E">
        <w:rPr>
          <w:b/>
          <w:color w:val="5B9BD5" w:themeColor="accent1"/>
        </w:rPr>
        <w:t>cartografiable</w:t>
      </w:r>
      <w:proofErr w:type="spellEnd"/>
      <w:r w:rsidRPr="0019130E">
        <w:rPr>
          <w:b/>
          <w:color w:val="5B9BD5" w:themeColor="accent1"/>
        </w:rPr>
        <w:t xml:space="preserve"> para cada intervalo de tiempo, bajo los criterios que estipula INEGI (50ha para vegetación y 25ha para los usos de suelo).</w:t>
      </w:r>
    </w:p>
    <w:p w:rsidR="0019130E" w:rsidRDefault="0019130E" w:rsidP="0019130E">
      <w:pPr>
        <w:ind w:left="708"/>
        <w:jc w:val="both"/>
        <w:rPr>
          <w:b/>
          <w:color w:val="5B9BD5" w:themeColor="accent1"/>
        </w:rPr>
      </w:pPr>
      <w:r>
        <w:rPr>
          <w:b/>
          <w:color w:val="5B9BD5" w:themeColor="accent1"/>
        </w:rPr>
        <w:t xml:space="preserve">e) </w:t>
      </w:r>
      <w:r w:rsidRPr="0019130E">
        <w:rPr>
          <w:b/>
          <w:color w:val="5B9BD5" w:themeColor="accent1"/>
        </w:rPr>
        <w:t>Análisis de las trayectorias y agrupación de los procesos y subprocesos de cambio, resultante de la fusión emergieron 29x29</w:t>
      </w:r>
      <w:r>
        <w:rPr>
          <w:b/>
          <w:color w:val="5B9BD5" w:themeColor="accent1"/>
        </w:rPr>
        <w:t>x29x29x29</w:t>
      </w:r>
      <w:r w:rsidRPr="0019130E">
        <w:rPr>
          <w:b/>
          <w:color w:val="5B9BD5" w:themeColor="accent1"/>
        </w:rPr>
        <w:t xml:space="preserve"> posibles trayectorias (total de </w:t>
      </w:r>
      <w:r>
        <w:rPr>
          <w:b/>
          <w:color w:val="5B9BD5" w:themeColor="accent1"/>
        </w:rPr>
        <w:t>20,511,149</w:t>
      </w:r>
      <w:r w:rsidRPr="0019130E">
        <w:rPr>
          <w:b/>
          <w:color w:val="5B9BD5" w:themeColor="accent1"/>
        </w:rPr>
        <w:t xml:space="preserve">), lo que conllevo a un análisis semántico de las topologías espacio-temporales para reagrupar las combinaciones derivadas tanto en </w:t>
      </w:r>
      <w:r w:rsidR="00741CD4">
        <w:rPr>
          <w:b/>
          <w:color w:val="5B9BD5" w:themeColor="accent1"/>
        </w:rPr>
        <w:t>15</w:t>
      </w:r>
      <w:r w:rsidRPr="0019130E">
        <w:rPr>
          <w:b/>
          <w:color w:val="5B9BD5" w:themeColor="accent1"/>
        </w:rPr>
        <w:t xml:space="preserve"> grandes procesos de cambio: </w:t>
      </w:r>
      <w:r w:rsidR="00741CD4" w:rsidRPr="00741CD4">
        <w:rPr>
          <w:b/>
          <w:color w:val="5B9BD5" w:themeColor="accent1"/>
        </w:rPr>
        <w:t>Contracción de sistemas productivos a vegetación estable</w:t>
      </w:r>
      <w:r w:rsidR="00741CD4">
        <w:rPr>
          <w:b/>
          <w:color w:val="5B9BD5" w:themeColor="accent1"/>
        </w:rPr>
        <w:t>, P</w:t>
      </w:r>
      <w:r w:rsidR="00741CD4" w:rsidRPr="00741CD4">
        <w:rPr>
          <w:b/>
          <w:color w:val="5B9BD5" w:themeColor="accent1"/>
        </w:rPr>
        <w:t>ermanencia de áreas sin vegetación aparente</w:t>
      </w:r>
      <w:r w:rsidR="00741CD4">
        <w:rPr>
          <w:b/>
          <w:color w:val="5B9BD5" w:themeColor="accent1"/>
        </w:rPr>
        <w:t xml:space="preserve">, </w:t>
      </w:r>
      <w:r w:rsidR="00741CD4" w:rsidRPr="00741CD4">
        <w:rPr>
          <w:b/>
          <w:color w:val="5B9BD5" w:themeColor="accent1"/>
        </w:rPr>
        <w:t>Permanencia de áreas urbanas</w:t>
      </w:r>
      <w:r w:rsidR="00741CD4">
        <w:rPr>
          <w:b/>
          <w:color w:val="5B9BD5" w:themeColor="accent1"/>
        </w:rPr>
        <w:t xml:space="preserve">, </w:t>
      </w:r>
      <w:r w:rsidR="00741CD4" w:rsidRPr="00741CD4">
        <w:rPr>
          <w:b/>
          <w:color w:val="5B9BD5" w:themeColor="accent1"/>
        </w:rPr>
        <w:t>Permanencia de cuerpos de agua</w:t>
      </w:r>
      <w:r w:rsidR="00741CD4">
        <w:rPr>
          <w:b/>
          <w:color w:val="5B9BD5" w:themeColor="accent1"/>
        </w:rPr>
        <w:t xml:space="preserve">, </w:t>
      </w:r>
      <w:r w:rsidR="00741CD4" w:rsidRPr="00741CD4">
        <w:rPr>
          <w:b/>
          <w:color w:val="5B9BD5" w:themeColor="accent1"/>
        </w:rPr>
        <w:t>Permanencia de matorrales</w:t>
      </w:r>
      <w:r w:rsidR="00741CD4">
        <w:rPr>
          <w:b/>
          <w:color w:val="5B9BD5" w:themeColor="accent1"/>
        </w:rPr>
        <w:t xml:space="preserve">, </w:t>
      </w:r>
      <w:r w:rsidR="00741CD4" w:rsidRPr="00741CD4">
        <w:rPr>
          <w:b/>
          <w:color w:val="5B9BD5" w:themeColor="accent1"/>
        </w:rPr>
        <w:t>Permanencia de sistemas productivos</w:t>
      </w:r>
      <w:r w:rsidR="00741CD4">
        <w:rPr>
          <w:b/>
          <w:color w:val="5B9BD5" w:themeColor="accent1"/>
        </w:rPr>
        <w:t xml:space="preserve">, </w:t>
      </w:r>
      <w:r w:rsidR="00741CD4" w:rsidRPr="00741CD4">
        <w:rPr>
          <w:b/>
          <w:color w:val="5B9BD5" w:themeColor="accent1"/>
        </w:rPr>
        <w:t>Permanencia de vegetación primaria</w:t>
      </w:r>
      <w:r w:rsidR="00741CD4">
        <w:rPr>
          <w:b/>
          <w:color w:val="5B9BD5" w:themeColor="accent1"/>
        </w:rPr>
        <w:t xml:space="preserve">, </w:t>
      </w:r>
      <w:r w:rsidR="00741CD4" w:rsidRPr="00741CD4">
        <w:rPr>
          <w:b/>
          <w:color w:val="5B9BD5" w:themeColor="accent1"/>
        </w:rPr>
        <w:t>Permanencia de vegetación primaria o secundaria</w:t>
      </w:r>
      <w:r w:rsidR="00741CD4">
        <w:rPr>
          <w:b/>
          <w:color w:val="5B9BD5" w:themeColor="accent1"/>
        </w:rPr>
        <w:t xml:space="preserve">, </w:t>
      </w:r>
      <w:r w:rsidR="00741CD4" w:rsidRPr="00741CD4">
        <w:rPr>
          <w:b/>
          <w:color w:val="5B9BD5" w:themeColor="accent1"/>
        </w:rPr>
        <w:t>Permanencia de vegetación secundaria</w:t>
      </w:r>
      <w:r w:rsidR="00741CD4">
        <w:rPr>
          <w:b/>
          <w:color w:val="5B9BD5" w:themeColor="accent1"/>
        </w:rPr>
        <w:t xml:space="preserve">, </w:t>
      </w:r>
      <w:r w:rsidR="00741CD4" w:rsidRPr="00741CD4">
        <w:rPr>
          <w:b/>
          <w:color w:val="5B9BD5" w:themeColor="accent1"/>
        </w:rPr>
        <w:t xml:space="preserve">Sistemas Productivos (2002-2011) a costas de </w:t>
      </w:r>
      <w:proofErr w:type="spellStart"/>
      <w:r w:rsidR="00741CD4" w:rsidRPr="00741CD4">
        <w:rPr>
          <w:b/>
          <w:color w:val="5B9BD5" w:themeColor="accent1"/>
        </w:rPr>
        <w:t>un</w:t>
      </w:r>
      <w:proofErr w:type="spellEnd"/>
      <w:r w:rsidR="00741CD4" w:rsidRPr="00741CD4">
        <w:rPr>
          <w:b/>
          <w:color w:val="5B9BD5" w:themeColor="accent1"/>
        </w:rPr>
        <w:t xml:space="preserve"> o dos tiempos de vegetación</w:t>
      </w:r>
      <w:r w:rsidR="00741CD4">
        <w:rPr>
          <w:b/>
          <w:color w:val="5B9BD5" w:themeColor="accent1"/>
        </w:rPr>
        <w:t xml:space="preserve">, </w:t>
      </w:r>
      <w:proofErr w:type="spellStart"/>
      <w:r w:rsidR="00741CD4" w:rsidRPr="00741CD4">
        <w:rPr>
          <w:b/>
          <w:color w:val="5B9BD5" w:themeColor="accent1"/>
        </w:rPr>
        <w:t>sp-veg-sp</w:t>
      </w:r>
      <w:proofErr w:type="spellEnd"/>
      <w:r w:rsidR="00741CD4">
        <w:rPr>
          <w:b/>
          <w:color w:val="5B9BD5" w:themeColor="accent1"/>
        </w:rPr>
        <w:t xml:space="preserve">, </w:t>
      </w:r>
      <w:r w:rsidR="00741CD4" w:rsidRPr="00741CD4">
        <w:rPr>
          <w:b/>
          <w:color w:val="5B9BD5" w:themeColor="accent1"/>
        </w:rPr>
        <w:t>urbanización a costa de capital natura</w:t>
      </w:r>
      <w:r w:rsidR="00741CD4">
        <w:rPr>
          <w:b/>
          <w:color w:val="5B9BD5" w:themeColor="accent1"/>
        </w:rPr>
        <w:t xml:space="preserve">l, </w:t>
      </w:r>
      <w:r w:rsidR="00741CD4" w:rsidRPr="00741CD4">
        <w:rPr>
          <w:b/>
          <w:color w:val="5B9BD5" w:themeColor="accent1"/>
        </w:rPr>
        <w:t>Urbanización a costa de sistemas productivos</w:t>
      </w:r>
      <w:r w:rsidR="00741CD4">
        <w:rPr>
          <w:b/>
          <w:color w:val="5B9BD5" w:themeColor="accent1"/>
        </w:rPr>
        <w:t xml:space="preserve">, </w:t>
      </w:r>
      <w:proofErr w:type="spellStart"/>
      <w:r w:rsidR="00741CD4" w:rsidRPr="00741CD4">
        <w:rPr>
          <w:b/>
          <w:color w:val="5B9BD5" w:themeColor="accent1"/>
        </w:rPr>
        <w:t>veg-sp-veg</w:t>
      </w:r>
      <w:proofErr w:type="spellEnd"/>
      <w:r w:rsidR="00741CD4">
        <w:rPr>
          <w:b/>
          <w:color w:val="5B9BD5" w:themeColor="accent1"/>
        </w:rPr>
        <w:t xml:space="preserve"> y otros.</w:t>
      </w:r>
    </w:p>
    <w:p w:rsidR="009C31CA" w:rsidRPr="00D13E25" w:rsidRDefault="009C31CA" w:rsidP="009C31CA">
      <w:pPr>
        <w:jc w:val="both"/>
        <w:rPr>
          <w:rFonts w:eastAsia="Times New Roman" w:cs="Arial"/>
          <w:color w:val="2E74B5" w:themeColor="accent1" w:themeShade="BF"/>
          <w:lang w:eastAsia="es-MX"/>
        </w:rPr>
      </w:pPr>
      <w:r w:rsidRPr="00D13E25">
        <w:rPr>
          <w:b/>
          <w:color w:val="5B9BD5" w:themeColor="accent1"/>
        </w:rPr>
        <w:t>Palabras clave</w:t>
      </w:r>
      <w:r w:rsidRPr="00D13E25">
        <w:rPr>
          <w:rFonts w:eastAsia="Times New Roman" w:cs="Arial"/>
          <w:color w:val="2E74B5" w:themeColor="accent1" w:themeShade="BF"/>
          <w:lang w:eastAsia="es-MX"/>
        </w:rPr>
        <w:t xml:space="preserve">: </w:t>
      </w:r>
      <w:r w:rsidR="00741CD4">
        <w:rPr>
          <w:rFonts w:eastAsia="Times New Roman" w:cs="Arial"/>
          <w:color w:val="2E74B5" w:themeColor="accent1" w:themeShade="BF"/>
          <w:lang w:eastAsia="es-MX"/>
        </w:rPr>
        <w:t>Procesos de cambio, Series de Uso de Suelo y Vegetación, 1976-2011</w:t>
      </w:r>
    </w:p>
    <w:p w:rsidR="003B3501" w:rsidRPr="00D13E25" w:rsidRDefault="003B3501" w:rsidP="00E86DA9">
      <w:pPr>
        <w:rPr>
          <w:b/>
          <w:color w:val="5B9BD5" w:themeColor="accent1"/>
        </w:rPr>
      </w:pPr>
      <w:r w:rsidRPr="00D13E25">
        <w:rPr>
          <w:b/>
          <w:color w:val="5B9BD5" w:themeColor="accent1"/>
        </w:rPr>
        <w:t>Ca</w:t>
      </w:r>
      <w:r w:rsidR="006D1FA7" w:rsidRPr="00D13E25">
        <w:rPr>
          <w:b/>
          <w:color w:val="5B9BD5" w:themeColor="accent1"/>
        </w:rPr>
        <w:t>tegoría:</w:t>
      </w:r>
    </w:p>
    <w:p w:rsidR="00CD0E4C" w:rsidRPr="00D13E25" w:rsidRDefault="00CD0E4C" w:rsidP="00652FC6">
      <w:pPr>
        <w:jc w:val="both"/>
        <w:rPr>
          <w:b/>
          <w:color w:val="5B9BD5" w:themeColor="accent1"/>
        </w:rPr>
      </w:pPr>
      <w:r w:rsidRPr="00D13E25">
        <w:rPr>
          <w:b/>
          <w:color w:val="5B9BD5" w:themeColor="accent1"/>
        </w:rPr>
        <w:t>Atributos:</w:t>
      </w:r>
    </w:p>
    <w:tbl>
      <w:tblPr>
        <w:tblW w:w="111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8412"/>
      </w:tblGrid>
      <w:tr w:rsidR="004043B8" w:rsidRPr="00FE79B9" w:rsidTr="00B82DF5">
        <w:trPr>
          <w:tblCellSpacing w:w="15" w:type="dxa"/>
        </w:trPr>
        <w:tc>
          <w:tcPr>
            <w:tcW w:w="2649" w:type="dxa"/>
            <w:vAlign w:val="center"/>
            <w:hideMark/>
          </w:tcPr>
          <w:p w:rsidR="004043B8" w:rsidRPr="00FE79B9" w:rsidRDefault="004043B8" w:rsidP="002C3AE4">
            <w:pPr>
              <w:spacing w:before="100" w:beforeAutospacing="1" w:after="100" w:afterAutospacing="1" w:line="240" w:lineRule="auto"/>
              <w:jc w:val="center"/>
              <w:outlineLvl w:val="3"/>
              <w:rPr>
                <w:rFonts w:eastAsia="Times New Roman" w:cs="Times New Roman"/>
                <w:b/>
                <w:bCs/>
                <w:lang w:eastAsia="es-MX"/>
              </w:rPr>
            </w:pPr>
            <w:r w:rsidRPr="00FE79B9">
              <w:rPr>
                <w:rFonts w:eastAsia="Times New Roman" w:cs="Times New Roman"/>
                <w:b/>
                <w:bCs/>
                <w:lang w:eastAsia="es-MX"/>
              </w:rPr>
              <w:t>Nombre del campo</w:t>
            </w:r>
          </w:p>
        </w:tc>
        <w:tc>
          <w:tcPr>
            <w:tcW w:w="8367" w:type="dxa"/>
            <w:vAlign w:val="center"/>
            <w:hideMark/>
          </w:tcPr>
          <w:p w:rsidR="004043B8" w:rsidRPr="00FE79B9" w:rsidRDefault="004043B8" w:rsidP="002C3AE4">
            <w:pPr>
              <w:spacing w:before="100" w:beforeAutospacing="1" w:after="100" w:afterAutospacing="1" w:line="240" w:lineRule="auto"/>
              <w:jc w:val="center"/>
              <w:outlineLvl w:val="3"/>
              <w:rPr>
                <w:rFonts w:eastAsia="Times New Roman" w:cs="Times New Roman"/>
                <w:b/>
                <w:bCs/>
                <w:lang w:eastAsia="es-MX"/>
              </w:rPr>
            </w:pPr>
            <w:r w:rsidRPr="00FE79B9">
              <w:rPr>
                <w:rFonts w:eastAsia="Times New Roman" w:cs="Times New Roman"/>
                <w:b/>
                <w:bCs/>
                <w:lang w:eastAsia="es-MX"/>
              </w:rPr>
              <w:t>Descripción</w:t>
            </w:r>
          </w:p>
        </w:tc>
      </w:tr>
      <w:tr w:rsidR="00AA560C" w:rsidRPr="00FE79B9" w:rsidTr="00B82DF5">
        <w:trPr>
          <w:tblCellSpacing w:w="15" w:type="dxa"/>
        </w:trPr>
        <w:tc>
          <w:tcPr>
            <w:tcW w:w="2649" w:type="dxa"/>
            <w:vAlign w:val="center"/>
            <w:hideMark/>
          </w:tcPr>
          <w:p w:rsidR="00AA560C" w:rsidRPr="00FE79B9" w:rsidRDefault="00AA560C" w:rsidP="00575E3F">
            <w:pPr>
              <w:spacing w:after="0" w:line="240" w:lineRule="auto"/>
              <w:rPr>
                <w:rFonts w:eastAsia="Times New Roman" w:cs="Times New Roman"/>
                <w:lang w:eastAsia="es-MX"/>
              </w:rPr>
            </w:pPr>
          </w:p>
        </w:tc>
        <w:tc>
          <w:tcPr>
            <w:tcW w:w="8367" w:type="dxa"/>
            <w:vAlign w:val="center"/>
            <w:hideMark/>
          </w:tcPr>
          <w:p w:rsidR="00AA560C" w:rsidRPr="00FE79B9" w:rsidRDefault="00AA560C" w:rsidP="00575E3F">
            <w:pPr>
              <w:spacing w:after="0" w:line="240" w:lineRule="auto"/>
              <w:rPr>
                <w:rFonts w:eastAsia="Times New Roman" w:cs="Times New Roman"/>
                <w:lang w:eastAsia="es-MX"/>
              </w:rPr>
            </w:pPr>
          </w:p>
        </w:tc>
      </w:tr>
      <w:tr w:rsidR="00DC5FF2" w:rsidRPr="00FE79B9" w:rsidTr="00B82DF5">
        <w:trPr>
          <w:tblCellSpacing w:w="15" w:type="dxa"/>
        </w:trPr>
        <w:tc>
          <w:tcPr>
            <w:tcW w:w="2649" w:type="dxa"/>
            <w:vAlign w:val="center"/>
          </w:tcPr>
          <w:p w:rsidR="00DC5FF2" w:rsidRPr="00FE79B9" w:rsidRDefault="00741CD4" w:rsidP="00575E3F">
            <w:pPr>
              <w:spacing w:after="0" w:line="240" w:lineRule="auto"/>
              <w:rPr>
                <w:rFonts w:eastAsia="Times New Roman" w:cs="Times New Roman"/>
                <w:lang w:eastAsia="es-MX"/>
              </w:rPr>
            </w:pPr>
            <w:r>
              <w:rPr>
                <w:rFonts w:eastAsia="Times New Roman" w:cs="Times New Roman"/>
                <w:lang w:eastAsia="es-MX"/>
              </w:rPr>
              <w:t>FID</w:t>
            </w:r>
          </w:p>
        </w:tc>
        <w:tc>
          <w:tcPr>
            <w:tcW w:w="8367" w:type="dxa"/>
            <w:vAlign w:val="center"/>
          </w:tcPr>
          <w:p w:rsidR="00DC5FF2" w:rsidRPr="00FE79B9" w:rsidRDefault="00741CD4" w:rsidP="00575E3F">
            <w:pPr>
              <w:spacing w:after="0" w:line="240" w:lineRule="auto"/>
              <w:rPr>
                <w:rFonts w:eastAsia="Times New Roman" w:cs="Times New Roman"/>
                <w:lang w:eastAsia="es-MX"/>
              </w:rPr>
            </w:pPr>
            <w:r>
              <w:rPr>
                <w:rFonts w:eastAsia="Times New Roman" w:cs="Times New Roman"/>
                <w:lang w:eastAsia="es-MX"/>
              </w:rPr>
              <w:t>ID geométrico de los polígonos</w:t>
            </w:r>
          </w:p>
        </w:tc>
      </w:tr>
      <w:tr w:rsidR="00FE79B9" w:rsidRPr="00FE79B9" w:rsidTr="00B82DF5">
        <w:trPr>
          <w:tblCellSpacing w:w="15" w:type="dxa"/>
        </w:trPr>
        <w:tc>
          <w:tcPr>
            <w:tcW w:w="2649" w:type="dxa"/>
            <w:vAlign w:val="center"/>
          </w:tcPr>
          <w:p w:rsidR="00FE79B9" w:rsidRPr="00FE79B9" w:rsidRDefault="00741CD4" w:rsidP="00575E3F">
            <w:pPr>
              <w:spacing w:after="0" w:line="240" w:lineRule="auto"/>
              <w:rPr>
                <w:rFonts w:eastAsia="Times New Roman" w:cs="Times New Roman"/>
                <w:lang w:eastAsia="es-MX"/>
              </w:rPr>
            </w:pPr>
            <w:r>
              <w:rPr>
                <w:rFonts w:eastAsia="Times New Roman" w:cs="Times New Roman"/>
                <w:lang w:eastAsia="es-MX"/>
              </w:rPr>
              <w:t>HECTARE</w:t>
            </w:r>
            <w:bookmarkStart w:id="0" w:name="_GoBack"/>
            <w:bookmarkEnd w:id="0"/>
            <w:r>
              <w:rPr>
                <w:rFonts w:eastAsia="Times New Roman" w:cs="Times New Roman"/>
                <w:lang w:eastAsia="es-MX"/>
              </w:rPr>
              <w:t>S</w:t>
            </w:r>
          </w:p>
        </w:tc>
        <w:tc>
          <w:tcPr>
            <w:tcW w:w="8367" w:type="dxa"/>
            <w:vAlign w:val="center"/>
          </w:tcPr>
          <w:p w:rsidR="00FE79B9" w:rsidRPr="00FE79B9" w:rsidRDefault="00741CD4" w:rsidP="00575E3F">
            <w:pPr>
              <w:spacing w:after="0" w:line="240" w:lineRule="auto"/>
              <w:rPr>
                <w:rFonts w:eastAsia="Times New Roman" w:cs="Times New Roman"/>
                <w:lang w:eastAsia="es-MX"/>
              </w:rPr>
            </w:pPr>
            <w:r>
              <w:rPr>
                <w:rFonts w:eastAsia="Times New Roman" w:cs="Times New Roman"/>
                <w:lang w:eastAsia="es-MX"/>
              </w:rPr>
              <w:t>Superficie de cada polígono en hectáreas</w:t>
            </w:r>
          </w:p>
        </w:tc>
      </w:tr>
      <w:tr w:rsidR="00FE79B9" w:rsidRPr="00FE79B9" w:rsidTr="00B82DF5">
        <w:trPr>
          <w:tblCellSpacing w:w="15" w:type="dxa"/>
        </w:trPr>
        <w:tc>
          <w:tcPr>
            <w:tcW w:w="2649" w:type="dxa"/>
            <w:vAlign w:val="center"/>
          </w:tcPr>
          <w:p w:rsidR="00FE79B9" w:rsidRPr="00FE79B9" w:rsidRDefault="00741CD4" w:rsidP="00575E3F">
            <w:pPr>
              <w:spacing w:after="0" w:line="240" w:lineRule="auto"/>
              <w:rPr>
                <w:rFonts w:eastAsia="Times New Roman" w:cs="Times New Roman"/>
                <w:lang w:eastAsia="es-MX"/>
              </w:rPr>
            </w:pPr>
            <w:r>
              <w:rPr>
                <w:rFonts w:eastAsia="Times New Roman" w:cs="Times New Roman"/>
                <w:lang w:eastAsia="es-MX"/>
              </w:rPr>
              <w:t>CINECC</w:t>
            </w:r>
          </w:p>
        </w:tc>
        <w:tc>
          <w:tcPr>
            <w:tcW w:w="8367" w:type="dxa"/>
            <w:vAlign w:val="center"/>
          </w:tcPr>
          <w:p w:rsidR="00FE79B9" w:rsidRPr="00FE79B9" w:rsidRDefault="00FE79B9" w:rsidP="00741CD4">
            <w:pPr>
              <w:spacing w:after="0" w:line="240" w:lineRule="auto"/>
              <w:rPr>
                <w:rFonts w:eastAsia="Times New Roman" w:cs="Times New Roman"/>
                <w:lang w:eastAsia="es-MX"/>
              </w:rPr>
            </w:pPr>
            <w:r>
              <w:rPr>
                <w:rFonts w:eastAsia="Times New Roman" w:cs="Times New Roman"/>
                <w:lang w:eastAsia="es-MX"/>
              </w:rPr>
              <w:t xml:space="preserve">Clave </w:t>
            </w:r>
            <w:r w:rsidR="00741CD4">
              <w:rPr>
                <w:rFonts w:eastAsia="Times New Roman" w:cs="Times New Roman"/>
                <w:lang w:eastAsia="es-MX"/>
              </w:rPr>
              <w:t>numérica de Uso de Suelo y vegetación reagrupado 1976</w:t>
            </w:r>
          </w:p>
        </w:tc>
      </w:tr>
      <w:tr w:rsidR="00FE79B9" w:rsidRPr="00FE79B9" w:rsidTr="00B82DF5">
        <w:trPr>
          <w:tblCellSpacing w:w="15" w:type="dxa"/>
        </w:trPr>
        <w:tc>
          <w:tcPr>
            <w:tcW w:w="2649" w:type="dxa"/>
            <w:vAlign w:val="center"/>
          </w:tcPr>
          <w:p w:rsidR="00FE79B9" w:rsidRPr="00FE79B9" w:rsidRDefault="00741CD4" w:rsidP="00575E3F">
            <w:pPr>
              <w:spacing w:after="0" w:line="240" w:lineRule="auto"/>
              <w:rPr>
                <w:rFonts w:eastAsia="Times New Roman" w:cs="Times New Roman"/>
                <w:lang w:eastAsia="es-MX"/>
              </w:rPr>
            </w:pPr>
            <w:r>
              <w:rPr>
                <w:rFonts w:eastAsia="Times New Roman" w:cs="Times New Roman"/>
                <w:lang w:eastAsia="es-MX"/>
              </w:rPr>
              <w:t>CLA_INECC</w:t>
            </w:r>
          </w:p>
        </w:tc>
        <w:tc>
          <w:tcPr>
            <w:tcW w:w="8367" w:type="dxa"/>
            <w:vAlign w:val="center"/>
          </w:tcPr>
          <w:p w:rsidR="00FE79B9" w:rsidRPr="00FE79B9" w:rsidRDefault="00741CD4" w:rsidP="00FE79B9">
            <w:pPr>
              <w:spacing w:after="0" w:line="240" w:lineRule="auto"/>
              <w:rPr>
                <w:rFonts w:eastAsia="Times New Roman" w:cs="Times New Roman"/>
                <w:lang w:eastAsia="es-MX"/>
              </w:rPr>
            </w:pPr>
            <w:r>
              <w:rPr>
                <w:rFonts w:eastAsia="Times New Roman" w:cs="Times New Roman"/>
                <w:lang w:eastAsia="es-MX"/>
              </w:rPr>
              <w:t>Uso de Suelo y vegetación reagrupado 1976</w:t>
            </w:r>
          </w:p>
        </w:tc>
      </w:tr>
      <w:tr w:rsidR="00FE79B9" w:rsidRPr="00FE79B9" w:rsidTr="00B82DF5">
        <w:trPr>
          <w:tblCellSpacing w:w="15" w:type="dxa"/>
        </w:trPr>
        <w:tc>
          <w:tcPr>
            <w:tcW w:w="2649" w:type="dxa"/>
            <w:vAlign w:val="center"/>
          </w:tcPr>
          <w:p w:rsidR="00FE79B9" w:rsidRPr="00FE79B9" w:rsidRDefault="00741CD4" w:rsidP="00575E3F">
            <w:pPr>
              <w:spacing w:after="0" w:line="240" w:lineRule="auto"/>
              <w:rPr>
                <w:rFonts w:eastAsia="Times New Roman" w:cs="Times New Roman"/>
                <w:lang w:eastAsia="es-MX"/>
              </w:rPr>
            </w:pPr>
            <w:r>
              <w:rPr>
                <w:rFonts w:eastAsia="Times New Roman" w:cs="Times New Roman"/>
                <w:lang w:eastAsia="es-MX"/>
              </w:rPr>
              <w:t>CINECC</w:t>
            </w:r>
            <w:r>
              <w:rPr>
                <w:rFonts w:eastAsia="Times New Roman" w:cs="Times New Roman"/>
                <w:lang w:eastAsia="es-MX"/>
              </w:rPr>
              <w:t>_1</w:t>
            </w:r>
          </w:p>
        </w:tc>
        <w:tc>
          <w:tcPr>
            <w:tcW w:w="8367" w:type="dxa"/>
            <w:vAlign w:val="center"/>
          </w:tcPr>
          <w:p w:rsidR="00FE79B9" w:rsidRPr="00FE79B9" w:rsidRDefault="00741CD4" w:rsidP="00FE79B9">
            <w:pPr>
              <w:spacing w:after="0" w:line="240" w:lineRule="auto"/>
              <w:rPr>
                <w:rFonts w:eastAsia="Times New Roman" w:cs="Times New Roman"/>
                <w:lang w:eastAsia="es-MX"/>
              </w:rPr>
            </w:pPr>
            <w:r>
              <w:rPr>
                <w:rFonts w:eastAsia="Times New Roman" w:cs="Times New Roman"/>
                <w:lang w:eastAsia="es-MX"/>
              </w:rPr>
              <w:t>Clave numérica de Uso de Suelo y v</w:t>
            </w:r>
            <w:r>
              <w:rPr>
                <w:rFonts w:eastAsia="Times New Roman" w:cs="Times New Roman"/>
                <w:lang w:eastAsia="es-MX"/>
              </w:rPr>
              <w:t>egetación reagrupado 1993</w:t>
            </w:r>
          </w:p>
        </w:tc>
      </w:tr>
      <w:tr w:rsidR="00FE79B9" w:rsidRPr="00FE79B9" w:rsidTr="00B82DF5">
        <w:trPr>
          <w:tblCellSpacing w:w="15" w:type="dxa"/>
        </w:trPr>
        <w:tc>
          <w:tcPr>
            <w:tcW w:w="2649" w:type="dxa"/>
            <w:vAlign w:val="center"/>
          </w:tcPr>
          <w:p w:rsidR="00FE79B9" w:rsidRPr="00FE79B9" w:rsidRDefault="00741CD4" w:rsidP="00575E3F">
            <w:pPr>
              <w:spacing w:after="0" w:line="240" w:lineRule="auto"/>
              <w:rPr>
                <w:rFonts w:eastAsia="Times New Roman" w:cs="Times New Roman"/>
                <w:lang w:eastAsia="es-MX"/>
              </w:rPr>
            </w:pPr>
            <w:r>
              <w:rPr>
                <w:rFonts w:eastAsia="Times New Roman" w:cs="Times New Roman"/>
                <w:lang w:eastAsia="es-MX"/>
              </w:rPr>
              <w:t>CLA</w:t>
            </w:r>
            <w:r>
              <w:rPr>
                <w:rFonts w:eastAsia="Times New Roman" w:cs="Times New Roman"/>
                <w:lang w:eastAsia="es-MX"/>
              </w:rPr>
              <w:t>S</w:t>
            </w:r>
            <w:r>
              <w:rPr>
                <w:rFonts w:eastAsia="Times New Roman" w:cs="Times New Roman"/>
                <w:lang w:eastAsia="es-MX"/>
              </w:rPr>
              <w:t>_INECC</w:t>
            </w:r>
          </w:p>
        </w:tc>
        <w:tc>
          <w:tcPr>
            <w:tcW w:w="8367" w:type="dxa"/>
            <w:vAlign w:val="center"/>
          </w:tcPr>
          <w:p w:rsidR="00FE79B9" w:rsidRPr="00FE79B9" w:rsidRDefault="00741CD4" w:rsidP="00575E3F">
            <w:pPr>
              <w:spacing w:after="0" w:line="240" w:lineRule="auto"/>
              <w:rPr>
                <w:rFonts w:eastAsia="Times New Roman" w:cs="Times New Roman"/>
                <w:lang w:eastAsia="es-MX"/>
              </w:rPr>
            </w:pPr>
            <w:r>
              <w:rPr>
                <w:rFonts w:eastAsia="Times New Roman" w:cs="Times New Roman"/>
                <w:lang w:eastAsia="es-MX"/>
              </w:rPr>
              <w:t>Uso de Suelo y v</w:t>
            </w:r>
            <w:r>
              <w:rPr>
                <w:rFonts w:eastAsia="Times New Roman" w:cs="Times New Roman"/>
                <w:lang w:eastAsia="es-MX"/>
              </w:rPr>
              <w:t>egetación reagrupado 1993</w:t>
            </w:r>
          </w:p>
        </w:tc>
      </w:tr>
      <w:tr w:rsidR="00FE79B9" w:rsidRPr="00FE79B9" w:rsidTr="00B82DF5">
        <w:trPr>
          <w:tblCellSpacing w:w="15" w:type="dxa"/>
        </w:trPr>
        <w:tc>
          <w:tcPr>
            <w:tcW w:w="2649" w:type="dxa"/>
            <w:vAlign w:val="center"/>
          </w:tcPr>
          <w:p w:rsidR="00FE79B9" w:rsidRPr="00FE79B9" w:rsidRDefault="00741CD4" w:rsidP="00530EAA">
            <w:pPr>
              <w:spacing w:after="0" w:line="240" w:lineRule="auto"/>
              <w:rPr>
                <w:rFonts w:eastAsia="Times New Roman" w:cs="Times New Roman"/>
                <w:lang w:eastAsia="es-MX"/>
              </w:rPr>
            </w:pPr>
            <w:r>
              <w:rPr>
                <w:rFonts w:eastAsia="Times New Roman" w:cs="Times New Roman"/>
                <w:lang w:eastAsia="es-MX"/>
              </w:rPr>
              <w:t>CINECC</w:t>
            </w:r>
            <w:r>
              <w:rPr>
                <w:rFonts w:eastAsia="Times New Roman" w:cs="Times New Roman"/>
                <w:lang w:eastAsia="es-MX"/>
              </w:rPr>
              <w:t>_12</w:t>
            </w:r>
          </w:p>
        </w:tc>
        <w:tc>
          <w:tcPr>
            <w:tcW w:w="8367" w:type="dxa"/>
            <w:vAlign w:val="center"/>
          </w:tcPr>
          <w:p w:rsidR="00FE79B9" w:rsidRPr="00FE79B9" w:rsidRDefault="00741CD4" w:rsidP="00575E3F">
            <w:pPr>
              <w:spacing w:after="0" w:line="240" w:lineRule="auto"/>
              <w:rPr>
                <w:rFonts w:eastAsia="Times New Roman" w:cs="Times New Roman"/>
                <w:lang w:eastAsia="es-MX"/>
              </w:rPr>
            </w:pPr>
            <w:r>
              <w:rPr>
                <w:rFonts w:eastAsia="Times New Roman" w:cs="Times New Roman"/>
                <w:lang w:eastAsia="es-MX"/>
              </w:rPr>
              <w:t>Clave numérica de Uso de Suelo y v</w:t>
            </w:r>
            <w:r>
              <w:rPr>
                <w:rFonts w:eastAsia="Times New Roman" w:cs="Times New Roman"/>
                <w:lang w:eastAsia="es-MX"/>
              </w:rPr>
              <w:t>egetación reagrupado 2002</w:t>
            </w:r>
          </w:p>
        </w:tc>
      </w:tr>
      <w:tr w:rsidR="00FE79B9" w:rsidRPr="00D13E25" w:rsidTr="00B82DF5">
        <w:trPr>
          <w:tblCellSpacing w:w="15" w:type="dxa"/>
        </w:trPr>
        <w:tc>
          <w:tcPr>
            <w:tcW w:w="2649" w:type="dxa"/>
            <w:vAlign w:val="center"/>
          </w:tcPr>
          <w:p w:rsidR="00FE79B9" w:rsidRPr="00FE79B9" w:rsidRDefault="00741CD4" w:rsidP="00530EAA">
            <w:pPr>
              <w:spacing w:after="0" w:line="240" w:lineRule="auto"/>
              <w:rPr>
                <w:rFonts w:eastAsia="Times New Roman" w:cs="Times New Roman"/>
                <w:lang w:eastAsia="es-MX"/>
              </w:rPr>
            </w:pPr>
            <w:r>
              <w:rPr>
                <w:rFonts w:eastAsia="Times New Roman" w:cs="Times New Roman"/>
                <w:lang w:eastAsia="es-MX"/>
              </w:rPr>
              <w:t>CLA_INEC_1</w:t>
            </w:r>
          </w:p>
        </w:tc>
        <w:tc>
          <w:tcPr>
            <w:tcW w:w="8367" w:type="dxa"/>
            <w:vAlign w:val="center"/>
          </w:tcPr>
          <w:p w:rsidR="00FE79B9" w:rsidRPr="00D13E25" w:rsidRDefault="00741CD4" w:rsidP="00741CD4">
            <w:pPr>
              <w:spacing w:after="0" w:line="240" w:lineRule="auto"/>
              <w:rPr>
                <w:rFonts w:eastAsia="Times New Roman" w:cs="Times New Roman"/>
                <w:lang w:eastAsia="es-MX"/>
              </w:rPr>
            </w:pPr>
            <w:r>
              <w:rPr>
                <w:rFonts w:eastAsia="Times New Roman" w:cs="Times New Roman"/>
                <w:lang w:eastAsia="es-MX"/>
              </w:rPr>
              <w:t xml:space="preserve">Uso de Suelo y vegetación reagrupado </w:t>
            </w:r>
            <w:r>
              <w:rPr>
                <w:rFonts w:eastAsia="Times New Roman" w:cs="Times New Roman"/>
                <w:lang w:eastAsia="es-MX"/>
              </w:rPr>
              <w:t>2002</w:t>
            </w:r>
          </w:p>
        </w:tc>
      </w:tr>
      <w:tr w:rsidR="00FE79B9" w:rsidRPr="00D13E25" w:rsidTr="00B82DF5">
        <w:trPr>
          <w:tblCellSpacing w:w="15" w:type="dxa"/>
        </w:trPr>
        <w:tc>
          <w:tcPr>
            <w:tcW w:w="2649" w:type="dxa"/>
            <w:vAlign w:val="center"/>
          </w:tcPr>
          <w:p w:rsidR="00FE79B9" w:rsidRPr="00FE79B9" w:rsidRDefault="00741CD4" w:rsidP="00530EAA">
            <w:pPr>
              <w:spacing w:after="0" w:line="240" w:lineRule="auto"/>
              <w:rPr>
                <w:rFonts w:eastAsia="Times New Roman" w:cs="Times New Roman"/>
                <w:lang w:eastAsia="es-MX"/>
              </w:rPr>
            </w:pPr>
            <w:r>
              <w:rPr>
                <w:rFonts w:eastAsia="Times New Roman" w:cs="Times New Roman"/>
                <w:lang w:eastAsia="es-MX"/>
              </w:rPr>
              <w:t>CINECC_12</w:t>
            </w:r>
          </w:p>
        </w:tc>
        <w:tc>
          <w:tcPr>
            <w:tcW w:w="8367" w:type="dxa"/>
            <w:vAlign w:val="center"/>
          </w:tcPr>
          <w:p w:rsidR="00FE79B9" w:rsidRPr="00D13E25" w:rsidRDefault="00741CD4" w:rsidP="00FE79B9">
            <w:pPr>
              <w:spacing w:after="0" w:line="240" w:lineRule="auto"/>
              <w:rPr>
                <w:rFonts w:eastAsia="Times New Roman" w:cs="Times New Roman"/>
                <w:lang w:eastAsia="es-MX"/>
              </w:rPr>
            </w:pPr>
            <w:r>
              <w:rPr>
                <w:rFonts w:eastAsia="Times New Roman" w:cs="Times New Roman"/>
                <w:lang w:eastAsia="es-MX"/>
              </w:rPr>
              <w:t>Clave numérica de Uso de Suelo y v</w:t>
            </w:r>
            <w:r>
              <w:rPr>
                <w:rFonts w:eastAsia="Times New Roman" w:cs="Times New Roman"/>
                <w:lang w:eastAsia="es-MX"/>
              </w:rPr>
              <w:t>egetación reagrupado 2007</w:t>
            </w:r>
          </w:p>
        </w:tc>
      </w:tr>
      <w:tr w:rsidR="00FE79B9" w:rsidRPr="00D13E25" w:rsidTr="00B82DF5">
        <w:trPr>
          <w:tblCellSpacing w:w="15" w:type="dxa"/>
        </w:trPr>
        <w:tc>
          <w:tcPr>
            <w:tcW w:w="2649" w:type="dxa"/>
            <w:vAlign w:val="center"/>
          </w:tcPr>
          <w:p w:rsidR="00FE79B9" w:rsidRPr="00FE79B9" w:rsidRDefault="00741CD4" w:rsidP="00530EAA">
            <w:pPr>
              <w:spacing w:after="0" w:line="240" w:lineRule="auto"/>
              <w:rPr>
                <w:rFonts w:eastAsia="Times New Roman" w:cs="Times New Roman"/>
                <w:lang w:eastAsia="es-MX"/>
              </w:rPr>
            </w:pPr>
            <w:r>
              <w:rPr>
                <w:rFonts w:eastAsia="Times New Roman" w:cs="Times New Roman"/>
                <w:lang w:eastAsia="es-MX"/>
              </w:rPr>
              <w:t>CLA_INEC_2</w:t>
            </w:r>
          </w:p>
        </w:tc>
        <w:tc>
          <w:tcPr>
            <w:tcW w:w="8367" w:type="dxa"/>
            <w:vAlign w:val="center"/>
          </w:tcPr>
          <w:p w:rsidR="00FE79B9" w:rsidRPr="00D13E25" w:rsidRDefault="00741CD4" w:rsidP="00575E3F">
            <w:pPr>
              <w:spacing w:after="0" w:line="240" w:lineRule="auto"/>
              <w:rPr>
                <w:rFonts w:eastAsia="Times New Roman" w:cs="Times New Roman"/>
                <w:lang w:eastAsia="es-MX"/>
              </w:rPr>
            </w:pPr>
            <w:r>
              <w:rPr>
                <w:rFonts w:eastAsia="Times New Roman" w:cs="Times New Roman"/>
                <w:lang w:eastAsia="es-MX"/>
              </w:rPr>
              <w:t xml:space="preserve">Uso de Suelo y vegetación reagrupado </w:t>
            </w:r>
            <w:r>
              <w:rPr>
                <w:rFonts w:eastAsia="Times New Roman" w:cs="Times New Roman"/>
                <w:lang w:eastAsia="es-MX"/>
              </w:rPr>
              <w:t>2007</w:t>
            </w:r>
          </w:p>
        </w:tc>
      </w:tr>
      <w:tr w:rsidR="00FE79B9" w:rsidRPr="00D13E25" w:rsidTr="00B82DF5">
        <w:trPr>
          <w:tblCellSpacing w:w="15" w:type="dxa"/>
        </w:trPr>
        <w:tc>
          <w:tcPr>
            <w:tcW w:w="2649" w:type="dxa"/>
            <w:vAlign w:val="center"/>
          </w:tcPr>
          <w:p w:rsidR="00FE79B9" w:rsidRPr="00FE79B9" w:rsidRDefault="00741CD4" w:rsidP="00530EAA">
            <w:pPr>
              <w:spacing w:after="0" w:line="240" w:lineRule="auto"/>
              <w:rPr>
                <w:rFonts w:eastAsia="Times New Roman" w:cs="Times New Roman"/>
                <w:lang w:eastAsia="es-MX"/>
              </w:rPr>
            </w:pPr>
            <w:r>
              <w:rPr>
                <w:rFonts w:eastAsia="Times New Roman" w:cs="Times New Roman"/>
                <w:lang w:eastAsia="es-MX"/>
              </w:rPr>
              <w:t>CINECCV2</w:t>
            </w:r>
          </w:p>
        </w:tc>
        <w:tc>
          <w:tcPr>
            <w:tcW w:w="8367" w:type="dxa"/>
            <w:vAlign w:val="center"/>
          </w:tcPr>
          <w:p w:rsidR="00FE79B9" w:rsidRPr="00D13E25" w:rsidRDefault="00741CD4" w:rsidP="00FE79B9">
            <w:pPr>
              <w:spacing w:after="0" w:line="240" w:lineRule="auto"/>
              <w:rPr>
                <w:rFonts w:eastAsia="Times New Roman" w:cs="Times New Roman"/>
                <w:lang w:eastAsia="es-MX"/>
              </w:rPr>
            </w:pPr>
            <w:r>
              <w:rPr>
                <w:rFonts w:eastAsia="Times New Roman" w:cs="Times New Roman"/>
                <w:lang w:eastAsia="es-MX"/>
              </w:rPr>
              <w:t>Clave numérica de Uso de Suelo y v</w:t>
            </w:r>
            <w:r>
              <w:rPr>
                <w:rFonts w:eastAsia="Times New Roman" w:cs="Times New Roman"/>
                <w:lang w:eastAsia="es-MX"/>
              </w:rPr>
              <w:t>egetación reagrupado 2011</w:t>
            </w:r>
          </w:p>
        </w:tc>
      </w:tr>
      <w:tr w:rsidR="00FE79B9" w:rsidRPr="00D13E25" w:rsidTr="00B82DF5">
        <w:trPr>
          <w:tblCellSpacing w:w="15" w:type="dxa"/>
        </w:trPr>
        <w:tc>
          <w:tcPr>
            <w:tcW w:w="2649" w:type="dxa"/>
            <w:vAlign w:val="center"/>
          </w:tcPr>
          <w:p w:rsidR="00FE79B9" w:rsidRPr="00FE79B9" w:rsidRDefault="00741CD4" w:rsidP="00530EAA">
            <w:pPr>
              <w:spacing w:after="0" w:line="240" w:lineRule="auto"/>
              <w:rPr>
                <w:rFonts w:eastAsia="Times New Roman" w:cs="Times New Roman"/>
                <w:lang w:eastAsia="es-MX"/>
              </w:rPr>
            </w:pPr>
            <w:r>
              <w:rPr>
                <w:rFonts w:eastAsia="Times New Roman" w:cs="Times New Roman"/>
                <w:lang w:eastAsia="es-MX"/>
              </w:rPr>
              <w:t>CLA_INEC_3</w:t>
            </w:r>
          </w:p>
        </w:tc>
        <w:tc>
          <w:tcPr>
            <w:tcW w:w="8367" w:type="dxa"/>
            <w:vAlign w:val="center"/>
          </w:tcPr>
          <w:p w:rsidR="00FE79B9" w:rsidRPr="00D13E25" w:rsidRDefault="00741CD4" w:rsidP="00575E3F">
            <w:pPr>
              <w:spacing w:after="0" w:line="240" w:lineRule="auto"/>
              <w:rPr>
                <w:rFonts w:eastAsia="Times New Roman" w:cs="Times New Roman"/>
                <w:lang w:eastAsia="es-MX"/>
              </w:rPr>
            </w:pPr>
            <w:r>
              <w:rPr>
                <w:rFonts w:eastAsia="Times New Roman" w:cs="Times New Roman"/>
                <w:lang w:eastAsia="es-MX"/>
              </w:rPr>
              <w:t xml:space="preserve">Uso de Suelo y vegetación reagrupado </w:t>
            </w:r>
            <w:r>
              <w:rPr>
                <w:rFonts w:eastAsia="Times New Roman" w:cs="Times New Roman"/>
                <w:lang w:eastAsia="es-MX"/>
              </w:rPr>
              <w:t>2011</w:t>
            </w:r>
          </w:p>
        </w:tc>
      </w:tr>
      <w:tr w:rsidR="00741CD4" w:rsidRPr="00D13E25" w:rsidTr="00B82DF5">
        <w:trPr>
          <w:tblCellSpacing w:w="15" w:type="dxa"/>
        </w:trPr>
        <w:tc>
          <w:tcPr>
            <w:tcW w:w="2649" w:type="dxa"/>
            <w:vAlign w:val="center"/>
          </w:tcPr>
          <w:p w:rsidR="00741CD4" w:rsidRDefault="00741CD4" w:rsidP="00530EAA">
            <w:pPr>
              <w:spacing w:after="0" w:line="240" w:lineRule="auto"/>
              <w:rPr>
                <w:rFonts w:eastAsia="Times New Roman" w:cs="Times New Roman"/>
                <w:lang w:eastAsia="es-MX"/>
              </w:rPr>
            </w:pPr>
            <w:r>
              <w:rPr>
                <w:rFonts w:eastAsia="Times New Roman" w:cs="Times New Roman"/>
                <w:lang w:eastAsia="es-MX"/>
              </w:rPr>
              <w:t>Combina</w:t>
            </w:r>
          </w:p>
        </w:tc>
        <w:tc>
          <w:tcPr>
            <w:tcW w:w="8367" w:type="dxa"/>
            <w:vAlign w:val="center"/>
          </w:tcPr>
          <w:p w:rsidR="00741CD4" w:rsidRDefault="00741CD4" w:rsidP="00575E3F">
            <w:pPr>
              <w:spacing w:after="0" w:line="240" w:lineRule="auto"/>
              <w:rPr>
                <w:rFonts w:eastAsia="Times New Roman" w:cs="Times New Roman"/>
                <w:lang w:eastAsia="es-MX"/>
              </w:rPr>
            </w:pPr>
            <w:r>
              <w:rPr>
                <w:rFonts w:eastAsia="Times New Roman" w:cs="Times New Roman"/>
                <w:lang w:eastAsia="es-MX"/>
              </w:rPr>
              <w:t>Combinatoria de las 5 claves numéricas de Uso de Suelo y Vegetación</w:t>
            </w:r>
          </w:p>
        </w:tc>
      </w:tr>
      <w:tr w:rsidR="00741CD4" w:rsidRPr="00D13E25" w:rsidTr="00B82DF5">
        <w:trPr>
          <w:tblCellSpacing w:w="15" w:type="dxa"/>
        </w:trPr>
        <w:tc>
          <w:tcPr>
            <w:tcW w:w="2649" w:type="dxa"/>
            <w:vAlign w:val="center"/>
          </w:tcPr>
          <w:p w:rsidR="00741CD4" w:rsidRDefault="00741CD4" w:rsidP="00530EAA">
            <w:pPr>
              <w:spacing w:after="0" w:line="240" w:lineRule="auto"/>
              <w:rPr>
                <w:rFonts w:eastAsia="Times New Roman" w:cs="Times New Roman"/>
                <w:lang w:eastAsia="es-MX"/>
              </w:rPr>
            </w:pPr>
            <w:r>
              <w:rPr>
                <w:rFonts w:eastAsia="Times New Roman" w:cs="Times New Roman"/>
                <w:lang w:eastAsia="es-MX"/>
              </w:rPr>
              <w:t>Procesos</w:t>
            </w:r>
          </w:p>
        </w:tc>
        <w:tc>
          <w:tcPr>
            <w:tcW w:w="8367" w:type="dxa"/>
            <w:vAlign w:val="center"/>
          </w:tcPr>
          <w:p w:rsidR="00741CD4" w:rsidRDefault="00741CD4" w:rsidP="00575E3F">
            <w:pPr>
              <w:spacing w:after="0" w:line="240" w:lineRule="auto"/>
              <w:rPr>
                <w:rFonts w:eastAsia="Times New Roman" w:cs="Times New Roman"/>
                <w:lang w:eastAsia="es-MX"/>
              </w:rPr>
            </w:pPr>
            <w:r>
              <w:rPr>
                <w:rFonts w:eastAsia="Times New Roman" w:cs="Times New Roman"/>
                <w:lang w:eastAsia="es-MX"/>
              </w:rPr>
              <w:t>Clasificación de procesos de cambio dominantes</w:t>
            </w:r>
          </w:p>
        </w:tc>
      </w:tr>
    </w:tbl>
    <w:p w:rsidR="004043B8" w:rsidRDefault="004043B8" w:rsidP="00652FC6">
      <w:pPr>
        <w:spacing w:after="0" w:line="240" w:lineRule="auto"/>
        <w:jc w:val="both"/>
      </w:pPr>
    </w:p>
    <w:p w:rsidR="00FE79B9" w:rsidRDefault="00FE79B9" w:rsidP="00652FC6">
      <w:pPr>
        <w:spacing w:after="0" w:line="240" w:lineRule="auto"/>
        <w:jc w:val="both"/>
      </w:pPr>
    </w:p>
    <w:p w:rsidR="00FE79B9" w:rsidRPr="00D13E25" w:rsidRDefault="00FE79B9" w:rsidP="00652FC6">
      <w:pPr>
        <w:spacing w:after="0" w:line="240" w:lineRule="auto"/>
        <w:jc w:val="both"/>
      </w:pPr>
    </w:p>
    <w:sectPr w:rsidR="00FE79B9" w:rsidRPr="00D13E25" w:rsidSect="00FB0CE6">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3B3"/>
    <w:multiLevelType w:val="multilevel"/>
    <w:tmpl w:val="12720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76EC1"/>
    <w:multiLevelType w:val="hybridMultilevel"/>
    <w:tmpl w:val="4EA0CCAE"/>
    <w:lvl w:ilvl="0" w:tplc="ED28A2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BD6A21"/>
    <w:multiLevelType w:val="multilevel"/>
    <w:tmpl w:val="7DF4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CE5AC6"/>
    <w:multiLevelType w:val="multilevel"/>
    <w:tmpl w:val="404E42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E754A5D"/>
    <w:multiLevelType w:val="multilevel"/>
    <w:tmpl w:val="3A4E3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11573A"/>
    <w:multiLevelType w:val="multilevel"/>
    <w:tmpl w:val="443C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70"/>
    <w:rsid w:val="000758A6"/>
    <w:rsid w:val="000A2B23"/>
    <w:rsid w:val="000E14D4"/>
    <w:rsid w:val="00100870"/>
    <w:rsid w:val="00107BA8"/>
    <w:rsid w:val="00111D1C"/>
    <w:rsid w:val="00152FAD"/>
    <w:rsid w:val="00164241"/>
    <w:rsid w:val="00171012"/>
    <w:rsid w:val="00175E20"/>
    <w:rsid w:val="0019130E"/>
    <w:rsid w:val="00197698"/>
    <w:rsid w:val="001D2ED2"/>
    <w:rsid w:val="001D720B"/>
    <w:rsid w:val="001F3042"/>
    <w:rsid w:val="00211600"/>
    <w:rsid w:val="00251FF5"/>
    <w:rsid w:val="002623C1"/>
    <w:rsid w:val="00275ACB"/>
    <w:rsid w:val="002A2F5B"/>
    <w:rsid w:val="002B5E48"/>
    <w:rsid w:val="002B60A5"/>
    <w:rsid w:val="002C1D6A"/>
    <w:rsid w:val="002D6207"/>
    <w:rsid w:val="0030200F"/>
    <w:rsid w:val="003215E5"/>
    <w:rsid w:val="00324E05"/>
    <w:rsid w:val="00337044"/>
    <w:rsid w:val="00351D67"/>
    <w:rsid w:val="003B3501"/>
    <w:rsid w:val="003C4912"/>
    <w:rsid w:val="003D1A74"/>
    <w:rsid w:val="003E6327"/>
    <w:rsid w:val="004043B8"/>
    <w:rsid w:val="004E32BA"/>
    <w:rsid w:val="004F65E3"/>
    <w:rsid w:val="00557A59"/>
    <w:rsid w:val="005A7DB8"/>
    <w:rsid w:val="005B1AFD"/>
    <w:rsid w:val="005B50A8"/>
    <w:rsid w:val="005E3A22"/>
    <w:rsid w:val="005F1BF1"/>
    <w:rsid w:val="006176B3"/>
    <w:rsid w:val="00622F83"/>
    <w:rsid w:val="00652FC6"/>
    <w:rsid w:val="00670B25"/>
    <w:rsid w:val="006A24A8"/>
    <w:rsid w:val="006D1FA7"/>
    <w:rsid w:val="006D69B3"/>
    <w:rsid w:val="00700419"/>
    <w:rsid w:val="007124B9"/>
    <w:rsid w:val="007208B5"/>
    <w:rsid w:val="00735AD0"/>
    <w:rsid w:val="00741CD4"/>
    <w:rsid w:val="007432E4"/>
    <w:rsid w:val="00753E4B"/>
    <w:rsid w:val="00762FE7"/>
    <w:rsid w:val="007E5D59"/>
    <w:rsid w:val="007F1888"/>
    <w:rsid w:val="00813A64"/>
    <w:rsid w:val="008143E6"/>
    <w:rsid w:val="008174A0"/>
    <w:rsid w:val="008174C2"/>
    <w:rsid w:val="00822182"/>
    <w:rsid w:val="00825E68"/>
    <w:rsid w:val="00864318"/>
    <w:rsid w:val="00876DAE"/>
    <w:rsid w:val="008A2BCE"/>
    <w:rsid w:val="008C3A63"/>
    <w:rsid w:val="00937CC3"/>
    <w:rsid w:val="009962BA"/>
    <w:rsid w:val="009A7AE0"/>
    <w:rsid w:val="009B62F1"/>
    <w:rsid w:val="009C31CA"/>
    <w:rsid w:val="009E7F2B"/>
    <w:rsid w:val="00A373F5"/>
    <w:rsid w:val="00A425BA"/>
    <w:rsid w:val="00A510D0"/>
    <w:rsid w:val="00A638D2"/>
    <w:rsid w:val="00A656D8"/>
    <w:rsid w:val="00AA0079"/>
    <w:rsid w:val="00AA560C"/>
    <w:rsid w:val="00AC0B50"/>
    <w:rsid w:val="00AE01DB"/>
    <w:rsid w:val="00AE07C1"/>
    <w:rsid w:val="00B07B4C"/>
    <w:rsid w:val="00B15655"/>
    <w:rsid w:val="00B20D51"/>
    <w:rsid w:val="00B51D4B"/>
    <w:rsid w:val="00B65DD9"/>
    <w:rsid w:val="00B82DF5"/>
    <w:rsid w:val="00BA380A"/>
    <w:rsid w:val="00BA3912"/>
    <w:rsid w:val="00BB0792"/>
    <w:rsid w:val="00BB15CA"/>
    <w:rsid w:val="00C163CF"/>
    <w:rsid w:val="00C27A91"/>
    <w:rsid w:val="00C71AA4"/>
    <w:rsid w:val="00C9235C"/>
    <w:rsid w:val="00CB1B54"/>
    <w:rsid w:val="00CD0E4C"/>
    <w:rsid w:val="00CE1946"/>
    <w:rsid w:val="00D1226D"/>
    <w:rsid w:val="00D13E25"/>
    <w:rsid w:val="00D35989"/>
    <w:rsid w:val="00D42988"/>
    <w:rsid w:val="00D62FAF"/>
    <w:rsid w:val="00D76A36"/>
    <w:rsid w:val="00D83DD3"/>
    <w:rsid w:val="00D94271"/>
    <w:rsid w:val="00DC5FF2"/>
    <w:rsid w:val="00DD02E1"/>
    <w:rsid w:val="00DD03A8"/>
    <w:rsid w:val="00E078AE"/>
    <w:rsid w:val="00E12C09"/>
    <w:rsid w:val="00E24E03"/>
    <w:rsid w:val="00E55E70"/>
    <w:rsid w:val="00E86DA9"/>
    <w:rsid w:val="00E978DB"/>
    <w:rsid w:val="00EC07FF"/>
    <w:rsid w:val="00EC1697"/>
    <w:rsid w:val="00EC6AC2"/>
    <w:rsid w:val="00EE36F1"/>
    <w:rsid w:val="00EF01D0"/>
    <w:rsid w:val="00F00846"/>
    <w:rsid w:val="00F02D15"/>
    <w:rsid w:val="00F07D50"/>
    <w:rsid w:val="00F34C80"/>
    <w:rsid w:val="00F47473"/>
    <w:rsid w:val="00F53549"/>
    <w:rsid w:val="00F54129"/>
    <w:rsid w:val="00FB0CE6"/>
    <w:rsid w:val="00FE79B9"/>
    <w:rsid w:val="00FF0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E2D00-C561-41B6-9AC4-63CB7A5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clbl">
    <w:name w:val="seclbl"/>
    <w:basedOn w:val="Fuentedeprrafopredeter"/>
    <w:rsid w:val="00E078AE"/>
  </w:style>
  <w:style w:type="paragraph" w:styleId="NormalWeb">
    <w:name w:val="Normal (Web)"/>
    <w:basedOn w:val="Normal"/>
    <w:uiPriority w:val="99"/>
    <w:semiHidden/>
    <w:unhideWhenUsed/>
    <w:rsid w:val="007F1888"/>
    <w:pPr>
      <w:spacing w:before="100" w:beforeAutospacing="1" w:after="100" w:afterAutospacing="1" w:line="240" w:lineRule="auto"/>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7F1888"/>
  </w:style>
  <w:style w:type="character" w:customStyle="1" w:styleId="refidx">
    <w:name w:val="refidx"/>
    <w:basedOn w:val="Fuentedeprrafopredeter"/>
    <w:rsid w:val="007F1888"/>
  </w:style>
  <w:style w:type="character" w:customStyle="1" w:styleId="simplecnt">
    <w:name w:val="simplecnt"/>
    <w:basedOn w:val="Fuentedeprrafopredeter"/>
    <w:rsid w:val="007F1888"/>
  </w:style>
  <w:style w:type="character" w:styleId="Hipervnculo">
    <w:name w:val="Hyperlink"/>
    <w:basedOn w:val="Fuentedeprrafopredeter"/>
    <w:uiPriority w:val="99"/>
    <w:semiHidden/>
    <w:unhideWhenUsed/>
    <w:rsid w:val="00324E05"/>
    <w:rPr>
      <w:color w:val="0000FF"/>
      <w:u w:val="single"/>
    </w:rPr>
  </w:style>
  <w:style w:type="paragraph" w:styleId="Prrafodelista">
    <w:name w:val="List Paragraph"/>
    <w:basedOn w:val="Normal"/>
    <w:uiPriority w:val="34"/>
    <w:qFormat/>
    <w:rsid w:val="00FE79B9"/>
    <w:pPr>
      <w:ind w:left="720"/>
      <w:contextualSpacing/>
    </w:pPr>
  </w:style>
  <w:style w:type="character" w:styleId="Textoennegrita">
    <w:name w:val="Strong"/>
    <w:basedOn w:val="Fuentedeprrafopredeter"/>
    <w:uiPriority w:val="22"/>
    <w:qFormat/>
    <w:rsid w:val="00FE79B9"/>
    <w:rPr>
      <w:b/>
      <w:bCs/>
    </w:rPr>
  </w:style>
  <w:style w:type="character" w:styleId="nfasis">
    <w:name w:val="Emphasis"/>
    <w:basedOn w:val="Fuentedeprrafopredeter"/>
    <w:uiPriority w:val="20"/>
    <w:qFormat/>
    <w:rsid w:val="00FE7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357">
      <w:bodyDiv w:val="1"/>
      <w:marLeft w:val="0"/>
      <w:marRight w:val="0"/>
      <w:marTop w:val="0"/>
      <w:marBottom w:val="0"/>
      <w:divBdr>
        <w:top w:val="none" w:sz="0" w:space="0" w:color="auto"/>
        <w:left w:val="none" w:sz="0" w:space="0" w:color="auto"/>
        <w:bottom w:val="none" w:sz="0" w:space="0" w:color="auto"/>
        <w:right w:val="none" w:sz="0" w:space="0" w:color="auto"/>
      </w:divBdr>
    </w:div>
    <w:div w:id="139004408">
      <w:bodyDiv w:val="1"/>
      <w:marLeft w:val="0"/>
      <w:marRight w:val="0"/>
      <w:marTop w:val="0"/>
      <w:marBottom w:val="0"/>
      <w:divBdr>
        <w:top w:val="none" w:sz="0" w:space="0" w:color="auto"/>
        <w:left w:val="none" w:sz="0" w:space="0" w:color="auto"/>
        <w:bottom w:val="none" w:sz="0" w:space="0" w:color="auto"/>
        <w:right w:val="none" w:sz="0" w:space="0" w:color="auto"/>
      </w:divBdr>
    </w:div>
    <w:div w:id="247425669">
      <w:bodyDiv w:val="1"/>
      <w:marLeft w:val="0"/>
      <w:marRight w:val="0"/>
      <w:marTop w:val="0"/>
      <w:marBottom w:val="0"/>
      <w:divBdr>
        <w:top w:val="none" w:sz="0" w:space="0" w:color="auto"/>
        <w:left w:val="none" w:sz="0" w:space="0" w:color="auto"/>
        <w:bottom w:val="none" w:sz="0" w:space="0" w:color="auto"/>
        <w:right w:val="none" w:sz="0" w:space="0" w:color="auto"/>
      </w:divBdr>
    </w:div>
    <w:div w:id="282426600">
      <w:bodyDiv w:val="1"/>
      <w:marLeft w:val="0"/>
      <w:marRight w:val="0"/>
      <w:marTop w:val="0"/>
      <w:marBottom w:val="0"/>
      <w:divBdr>
        <w:top w:val="none" w:sz="0" w:space="0" w:color="auto"/>
        <w:left w:val="none" w:sz="0" w:space="0" w:color="auto"/>
        <w:bottom w:val="none" w:sz="0" w:space="0" w:color="auto"/>
        <w:right w:val="none" w:sz="0" w:space="0" w:color="auto"/>
      </w:divBdr>
    </w:div>
    <w:div w:id="367679776">
      <w:bodyDiv w:val="1"/>
      <w:marLeft w:val="0"/>
      <w:marRight w:val="0"/>
      <w:marTop w:val="0"/>
      <w:marBottom w:val="0"/>
      <w:divBdr>
        <w:top w:val="none" w:sz="0" w:space="0" w:color="auto"/>
        <w:left w:val="none" w:sz="0" w:space="0" w:color="auto"/>
        <w:bottom w:val="none" w:sz="0" w:space="0" w:color="auto"/>
        <w:right w:val="none" w:sz="0" w:space="0" w:color="auto"/>
      </w:divBdr>
    </w:div>
    <w:div w:id="426849948">
      <w:bodyDiv w:val="1"/>
      <w:marLeft w:val="0"/>
      <w:marRight w:val="0"/>
      <w:marTop w:val="0"/>
      <w:marBottom w:val="0"/>
      <w:divBdr>
        <w:top w:val="none" w:sz="0" w:space="0" w:color="auto"/>
        <w:left w:val="none" w:sz="0" w:space="0" w:color="auto"/>
        <w:bottom w:val="none" w:sz="0" w:space="0" w:color="auto"/>
        <w:right w:val="none" w:sz="0" w:space="0" w:color="auto"/>
      </w:divBdr>
    </w:div>
    <w:div w:id="467088836">
      <w:bodyDiv w:val="1"/>
      <w:marLeft w:val="0"/>
      <w:marRight w:val="0"/>
      <w:marTop w:val="0"/>
      <w:marBottom w:val="0"/>
      <w:divBdr>
        <w:top w:val="none" w:sz="0" w:space="0" w:color="auto"/>
        <w:left w:val="none" w:sz="0" w:space="0" w:color="auto"/>
        <w:bottom w:val="none" w:sz="0" w:space="0" w:color="auto"/>
        <w:right w:val="none" w:sz="0" w:space="0" w:color="auto"/>
      </w:divBdr>
    </w:div>
    <w:div w:id="560478871">
      <w:bodyDiv w:val="1"/>
      <w:marLeft w:val="0"/>
      <w:marRight w:val="0"/>
      <w:marTop w:val="0"/>
      <w:marBottom w:val="0"/>
      <w:divBdr>
        <w:top w:val="none" w:sz="0" w:space="0" w:color="auto"/>
        <w:left w:val="none" w:sz="0" w:space="0" w:color="auto"/>
        <w:bottom w:val="none" w:sz="0" w:space="0" w:color="auto"/>
        <w:right w:val="none" w:sz="0" w:space="0" w:color="auto"/>
      </w:divBdr>
    </w:div>
    <w:div w:id="798694213">
      <w:bodyDiv w:val="1"/>
      <w:marLeft w:val="0"/>
      <w:marRight w:val="0"/>
      <w:marTop w:val="0"/>
      <w:marBottom w:val="0"/>
      <w:divBdr>
        <w:top w:val="none" w:sz="0" w:space="0" w:color="auto"/>
        <w:left w:val="none" w:sz="0" w:space="0" w:color="auto"/>
        <w:bottom w:val="none" w:sz="0" w:space="0" w:color="auto"/>
        <w:right w:val="none" w:sz="0" w:space="0" w:color="auto"/>
      </w:divBdr>
      <w:divsChild>
        <w:div w:id="2144731270">
          <w:marLeft w:val="0"/>
          <w:marRight w:val="0"/>
          <w:marTop w:val="0"/>
          <w:marBottom w:val="0"/>
          <w:divBdr>
            <w:top w:val="none" w:sz="0" w:space="0" w:color="auto"/>
            <w:left w:val="none" w:sz="0" w:space="0" w:color="auto"/>
            <w:bottom w:val="single" w:sz="6" w:space="9" w:color="CFCFCF"/>
            <w:right w:val="none" w:sz="0" w:space="0" w:color="auto"/>
          </w:divBdr>
          <w:divsChild>
            <w:div w:id="2052223678">
              <w:marLeft w:val="0"/>
              <w:marRight w:val="0"/>
              <w:marTop w:val="0"/>
              <w:marBottom w:val="0"/>
              <w:divBdr>
                <w:top w:val="none" w:sz="0" w:space="0" w:color="auto"/>
                <w:left w:val="none" w:sz="0" w:space="0" w:color="auto"/>
                <w:bottom w:val="single" w:sz="6" w:space="9" w:color="CFCFCF"/>
                <w:right w:val="none" w:sz="0" w:space="0" w:color="auto"/>
              </w:divBdr>
            </w:div>
          </w:divsChild>
        </w:div>
      </w:divsChild>
    </w:div>
    <w:div w:id="873150389">
      <w:bodyDiv w:val="1"/>
      <w:marLeft w:val="0"/>
      <w:marRight w:val="0"/>
      <w:marTop w:val="0"/>
      <w:marBottom w:val="0"/>
      <w:divBdr>
        <w:top w:val="none" w:sz="0" w:space="0" w:color="auto"/>
        <w:left w:val="none" w:sz="0" w:space="0" w:color="auto"/>
        <w:bottom w:val="none" w:sz="0" w:space="0" w:color="auto"/>
        <w:right w:val="none" w:sz="0" w:space="0" w:color="auto"/>
      </w:divBdr>
    </w:div>
    <w:div w:id="1028872212">
      <w:bodyDiv w:val="1"/>
      <w:marLeft w:val="0"/>
      <w:marRight w:val="0"/>
      <w:marTop w:val="0"/>
      <w:marBottom w:val="0"/>
      <w:divBdr>
        <w:top w:val="none" w:sz="0" w:space="0" w:color="auto"/>
        <w:left w:val="none" w:sz="0" w:space="0" w:color="auto"/>
        <w:bottom w:val="none" w:sz="0" w:space="0" w:color="auto"/>
        <w:right w:val="none" w:sz="0" w:space="0" w:color="auto"/>
      </w:divBdr>
    </w:div>
    <w:div w:id="1039427466">
      <w:bodyDiv w:val="1"/>
      <w:marLeft w:val="0"/>
      <w:marRight w:val="0"/>
      <w:marTop w:val="0"/>
      <w:marBottom w:val="0"/>
      <w:divBdr>
        <w:top w:val="none" w:sz="0" w:space="0" w:color="auto"/>
        <w:left w:val="none" w:sz="0" w:space="0" w:color="auto"/>
        <w:bottom w:val="none" w:sz="0" w:space="0" w:color="auto"/>
        <w:right w:val="none" w:sz="0" w:space="0" w:color="auto"/>
      </w:divBdr>
    </w:div>
    <w:div w:id="1051612819">
      <w:bodyDiv w:val="1"/>
      <w:marLeft w:val="0"/>
      <w:marRight w:val="0"/>
      <w:marTop w:val="0"/>
      <w:marBottom w:val="0"/>
      <w:divBdr>
        <w:top w:val="none" w:sz="0" w:space="0" w:color="auto"/>
        <w:left w:val="none" w:sz="0" w:space="0" w:color="auto"/>
        <w:bottom w:val="none" w:sz="0" w:space="0" w:color="auto"/>
        <w:right w:val="none" w:sz="0" w:space="0" w:color="auto"/>
      </w:divBdr>
    </w:div>
    <w:div w:id="1152797890">
      <w:bodyDiv w:val="1"/>
      <w:marLeft w:val="0"/>
      <w:marRight w:val="0"/>
      <w:marTop w:val="0"/>
      <w:marBottom w:val="0"/>
      <w:divBdr>
        <w:top w:val="none" w:sz="0" w:space="0" w:color="auto"/>
        <w:left w:val="none" w:sz="0" w:space="0" w:color="auto"/>
        <w:bottom w:val="none" w:sz="0" w:space="0" w:color="auto"/>
        <w:right w:val="none" w:sz="0" w:space="0" w:color="auto"/>
      </w:divBdr>
    </w:div>
    <w:div w:id="1352561307">
      <w:bodyDiv w:val="1"/>
      <w:marLeft w:val="0"/>
      <w:marRight w:val="0"/>
      <w:marTop w:val="0"/>
      <w:marBottom w:val="0"/>
      <w:divBdr>
        <w:top w:val="none" w:sz="0" w:space="0" w:color="auto"/>
        <w:left w:val="none" w:sz="0" w:space="0" w:color="auto"/>
        <w:bottom w:val="none" w:sz="0" w:space="0" w:color="auto"/>
        <w:right w:val="none" w:sz="0" w:space="0" w:color="auto"/>
      </w:divBdr>
      <w:divsChild>
        <w:div w:id="1962494416">
          <w:marLeft w:val="0"/>
          <w:marRight w:val="0"/>
          <w:marTop w:val="0"/>
          <w:marBottom w:val="0"/>
          <w:divBdr>
            <w:top w:val="none" w:sz="0" w:space="0" w:color="auto"/>
            <w:left w:val="none" w:sz="0" w:space="0" w:color="auto"/>
            <w:bottom w:val="single" w:sz="6" w:space="9" w:color="CFCFCF"/>
            <w:right w:val="none" w:sz="0" w:space="0" w:color="auto"/>
          </w:divBdr>
          <w:divsChild>
            <w:div w:id="1726484160">
              <w:marLeft w:val="0"/>
              <w:marRight w:val="0"/>
              <w:marTop w:val="0"/>
              <w:marBottom w:val="0"/>
              <w:divBdr>
                <w:top w:val="none" w:sz="0" w:space="0" w:color="auto"/>
                <w:left w:val="none" w:sz="0" w:space="0" w:color="auto"/>
                <w:bottom w:val="single" w:sz="6" w:space="9" w:color="CFCFCF"/>
                <w:right w:val="none" w:sz="0" w:space="0" w:color="auto"/>
              </w:divBdr>
            </w:div>
          </w:divsChild>
        </w:div>
      </w:divsChild>
    </w:div>
    <w:div w:id="1412392942">
      <w:bodyDiv w:val="1"/>
      <w:marLeft w:val="0"/>
      <w:marRight w:val="0"/>
      <w:marTop w:val="0"/>
      <w:marBottom w:val="0"/>
      <w:divBdr>
        <w:top w:val="none" w:sz="0" w:space="0" w:color="auto"/>
        <w:left w:val="none" w:sz="0" w:space="0" w:color="auto"/>
        <w:bottom w:val="none" w:sz="0" w:space="0" w:color="auto"/>
        <w:right w:val="none" w:sz="0" w:space="0" w:color="auto"/>
      </w:divBdr>
    </w:div>
    <w:div w:id="1454786635">
      <w:bodyDiv w:val="1"/>
      <w:marLeft w:val="0"/>
      <w:marRight w:val="0"/>
      <w:marTop w:val="0"/>
      <w:marBottom w:val="0"/>
      <w:divBdr>
        <w:top w:val="none" w:sz="0" w:space="0" w:color="auto"/>
        <w:left w:val="none" w:sz="0" w:space="0" w:color="auto"/>
        <w:bottom w:val="none" w:sz="0" w:space="0" w:color="auto"/>
        <w:right w:val="none" w:sz="0" w:space="0" w:color="auto"/>
      </w:divBdr>
    </w:div>
    <w:div w:id="1508251250">
      <w:bodyDiv w:val="1"/>
      <w:marLeft w:val="0"/>
      <w:marRight w:val="0"/>
      <w:marTop w:val="0"/>
      <w:marBottom w:val="0"/>
      <w:divBdr>
        <w:top w:val="none" w:sz="0" w:space="0" w:color="auto"/>
        <w:left w:val="none" w:sz="0" w:space="0" w:color="auto"/>
        <w:bottom w:val="none" w:sz="0" w:space="0" w:color="auto"/>
        <w:right w:val="none" w:sz="0" w:space="0" w:color="auto"/>
      </w:divBdr>
    </w:div>
    <w:div w:id="1520267078">
      <w:bodyDiv w:val="1"/>
      <w:marLeft w:val="0"/>
      <w:marRight w:val="0"/>
      <w:marTop w:val="0"/>
      <w:marBottom w:val="0"/>
      <w:divBdr>
        <w:top w:val="none" w:sz="0" w:space="0" w:color="auto"/>
        <w:left w:val="none" w:sz="0" w:space="0" w:color="auto"/>
        <w:bottom w:val="none" w:sz="0" w:space="0" w:color="auto"/>
        <w:right w:val="none" w:sz="0" w:space="0" w:color="auto"/>
      </w:divBdr>
    </w:div>
    <w:div w:id="1734232031">
      <w:bodyDiv w:val="1"/>
      <w:marLeft w:val="0"/>
      <w:marRight w:val="0"/>
      <w:marTop w:val="0"/>
      <w:marBottom w:val="0"/>
      <w:divBdr>
        <w:top w:val="none" w:sz="0" w:space="0" w:color="auto"/>
        <w:left w:val="none" w:sz="0" w:space="0" w:color="auto"/>
        <w:bottom w:val="none" w:sz="0" w:space="0" w:color="auto"/>
        <w:right w:val="none" w:sz="0" w:space="0" w:color="auto"/>
      </w:divBdr>
    </w:div>
    <w:div w:id="1768112246">
      <w:bodyDiv w:val="1"/>
      <w:marLeft w:val="0"/>
      <w:marRight w:val="0"/>
      <w:marTop w:val="0"/>
      <w:marBottom w:val="0"/>
      <w:divBdr>
        <w:top w:val="none" w:sz="0" w:space="0" w:color="auto"/>
        <w:left w:val="none" w:sz="0" w:space="0" w:color="auto"/>
        <w:bottom w:val="none" w:sz="0" w:space="0" w:color="auto"/>
        <w:right w:val="none" w:sz="0" w:space="0" w:color="auto"/>
      </w:divBdr>
    </w:div>
    <w:div w:id="1774352446">
      <w:bodyDiv w:val="1"/>
      <w:marLeft w:val="0"/>
      <w:marRight w:val="0"/>
      <w:marTop w:val="0"/>
      <w:marBottom w:val="0"/>
      <w:divBdr>
        <w:top w:val="none" w:sz="0" w:space="0" w:color="auto"/>
        <w:left w:val="none" w:sz="0" w:space="0" w:color="auto"/>
        <w:bottom w:val="none" w:sz="0" w:space="0" w:color="auto"/>
        <w:right w:val="none" w:sz="0" w:space="0" w:color="auto"/>
      </w:divBdr>
      <w:divsChild>
        <w:div w:id="1652714183">
          <w:marLeft w:val="0"/>
          <w:marRight w:val="0"/>
          <w:marTop w:val="0"/>
          <w:marBottom w:val="0"/>
          <w:divBdr>
            <w:top w:val="none" w:sz="0" w:space="0" w:color="auto"/>
            <w:left w:val="none" w:sz="0" w:space="0" w:color="auto"/>
            <w:bottom w:val="single" w:sz="6" w:space="9" w:color="CFCFCF"/>
            <w:right w:val="none" w:sz="0" w:space="0" w:color="auto"/>
          </w:divBdr>
        </w:div>
      </w:divsChild>
    </w:div>
    <w:div w:id="1784884655">
      <w:bodyDiv w:val="1"/>
      <w:marLeft w:val="0"/>
      <w:marRight w:val="0"/>
      <w:marTop w:val="0"/>
      <w:marBottom w:val="0"/>
      <w:divBdr>
        <w:top w:val="none" w:sz="0" w:space="0" w:color="auto"/>
        <w:left w:val="none" w:sz="0" w:space="0" w:color="auto"/>
        <w:bottom w:val="none" w:sz="0" w:space="0" w:color="auto"/>
        <w:right w:val="none" w:sz="0" w:space="0" w:color="auto"/>
      </w:divBdr>
    </w:div>
    <w:div w:id="1791127318">
      <w:bodyDiv w:val="1"/>
      <w:marLeft w:val="0"/>
      <w:marRight w:val="0"/>
      <w:marTop w:val="0"/>
      <w:marBottom w:val="0"/>
      <w:divBdr>
        <w:top w:val="none" w:sz="0" w:space="0" w:color="auto"/>
        <w:left w:val="none" w:sz="0" w:space="0" w:color="auto"/>
        <w:bottom w:val="none" w:sz="0" w:space="0" w:color="auto"/>
        <w:right w:val="none" w:sz="0" w:space="0" w:color="auto"/>
      </w:divBdr>
    </w:div>
    <w:div w:id="1826119514">
      <w:bodyDiv w:val="1"/>
      <w:marLeft w:val="0"/>
      <w:marRight w:val="0"/>
      <w:marTop w:val="0"/>
      <w:marBottom w:val="0"/>
      <w:divBdr>
        <w:top w:val="none" w:sz="0" w:space="0" w:color="auto"/>
        <w:left w:val="none" w:sz="0" w:space="0" w:color="auto"/>
        <w:bottom w:val="none" w:sz="0" w:space="0" w:color="auto"/>
        <w:right w:val="none" w:sz="0" w:space="0" w:color="auto"/>
      </w:divBdr>
    </w:div>
    <w:div w:id="1848014389">
      <w:bodyDiv w:val="1"/>
      <w:marLeft w:val="0"/>
      <w:marRight w:val="0"/>
      <w:marTop w:val="0"/>
      <w:marBottom w:val="0"/>
      <w:divBdr>
        <w:top w:val="none" w:sz="0" w:space="0" w:color="auto"/>
        <w:left w:val="none" w:sz="0" w:space="0" w:color="auto"/>
        <w:bottom w:val="none" w:sz="0" w:space="0" w:color="auto"/>
        <w:right w:val="none" w:sz="0" w:space="0" w:color="auto"/>
      </w:divBdr>
    </w:div>
    <w:div w:id="1904214354">
      <w:bodyDiv w:val="1"/>
      <w:marLeft w:val="0"/>
      <w:marRight w:val="0"/>
      <w:marTop w:val="0"/>
      <w:marBottom w:val="0"/>
      <w:divBdr>
        <w:top w:val="none" w:sz="0" w:space="0" w:color="auto"/>
        <w:left w:val="none" w:sz="0" w:space="0" w:color="auto"/>
        <w:bottom w:val="none" w:sz="0" w:space="0" w:color="auto"/>
        <w:right w:val="none" w:sz="0" w:space="0" w:color="auto"/>
      </w:divBdr>
    </w:div>
    <w:div w:id="1906646823">
      <w:bodyDiv w:val="1"/>
      <w:marLeft w:val="0"/>
      <w:marRight w:val="0"/>
      <w:marTop w:val="0"/>
      <w:marBottom w:val="0"/>
      <w:divBdr>
        <w:top w:val="none" w:sz="0" w:space="0" w:color="auto"/>
        <w:left w:val="none" w:sz="0" w:space="0" w:color="auto"/>
        <w:bottom w:val="none" w:sz="0" w:space="0" w:color="auto"/>
        <w:right w:val="none" w:sz="0" w:space="0" w:color="auto"/>
      </w:divBdr>
    </w:div>
    <w:div w:id="1912232816">
      <w:bodyDiv w:val="1"/>
      <w:marLeft w:val="0"/>
      <w:marRight w:val="0"/>
      <w:marTop w:val="0"/>
      <w:marBottom w:val="0"/>
      <w:divBdr>
        <w:top w:val="none" w:sz="0" w:space="0" w:color="auto"/>
        <w:left w:val="none" w:sz="0" w:space="0" w:color="auto"/>
        <w:bottom w:val="none" w:sz="0" w:space="0" w:color="auto"/>
        <w:right w:val="none" w:sz="0" w:space="0" w:color="auto"/>
      </w:divBdr>
    </w:div>
    <w:div w:id="1921018464">
      <w:bodyDiv w:val="1"/>
      <w:marLeft w:val="0"/>
      <w:marRight w:val="0"/>
      <w:marTop w:val="0"/>
      <w:marBottom w:val="0"/>
      <w:divBdr>
        <w:top w:val="none" w:sz="0" w:space="0" w:color="auto"/>
        <w:left w:val="none" w:sz="0" w:space="0" w:color="auto"/>
        <w:bottom w:val="none" w:sz="0" w:space="0" w:color="auto"/>
        <w:right w:val="none" w:sz="0" w:space="0" w:color="auto"/>
      </w:divBdr>
    </w:div>
    <w:div w:id="1948730865">
      <w:bodyDiv w:val="1"/>
      <w:marLeft w:val="0"/>
      <w:marRight w:val="0"/>
      <w:marTop w:val="0"/>
      <w:marBottom w:val="0"/>
      <w:divBdr>
        <w:top w:val="none" w:sz="0" w:space="0" w:color="auto"/>
        <w:left w:val="none" w:sz="0" w:space="0" w:color="auto"/>
        <w:bottom w:val="none" w:sz="0" w:space="0" w:color="auto"/>
        <w:right w:val="none" w:sz="0" w:space="0" w:color="auto"/>
      </w:divBdr>
    </w:div>
    <w:div w:id="2005668132">
      <w:bodyDiv w:val="1"/>
      <w:marLeft w:val="0"/>
      <w:marRight w:val="0"/>
      <w:marTop w:val="0"/>
      <w:marBottom w:val="0"/>
      <w:divBdr>
        <w:top w:val="none" w:sz="0" w:space="0" w:color="auto"/>
        <w:left w:val="none" w:sz="0" w:space="0" w:color="auto"/>
        <w:bottom w:val="none" w:sz="0" w:space="0" w:color="auto"/>
        <w:right w:val="none" w:sz="0" w:space="0" w:color="auto"/>
      </w:divBdr>
    </w:div>
    <w:div w:id="20162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1114</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Isidro Rangel Farfan</dc:creator>
  <cp:lastModifiedBy>José Mauricio Galeana Pizaña</cp:lastModifiedBy>
  <cp:revision>3</cp:revision>
  <dcterms:created xsi:type="dcterms:W3CDTF">2015-04-22T16:31:00Z</dcterms:created>
  <dcterms:modified xsi:type="dcterms:W3CDTF">2016-11-28T19:40:00Z</dcterms:modified>
</cp:coreProperties>
</file>